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media/image1.jpeg" ContentType="image/jpeg"/>
  <Override PartName="/word/media/image2.jpeg" ContentType="image/jpeg"/>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ackground w:color="FFFFFF"/>
  <w:body>
    <w:p>
      <w:pPr>
        <w:pStyle w:val="NormalWeb"/>
        <w:widowControl w:val="false"/>
        <w:spacing w:before="0" w:after="0"/>
        <w:ind w:left="-1701" w:right="-286"/>
        <w:rPr>
          <w:rFonts w:ascii="Times New Roman" w:hAnsi="Times New Roman" w:cs="Times New Roman"/>
          <w:sz w:val="24"/>
          <w:szCs w:val="24"/>
        </w:rPr>
      </w:pPr>
      <w:r>
        <w:rPr/>
        <w:drawing>
          <wp:anchor behindDoc="0" distT="0" distB="0" distL="0" distR="0" simplePos="0" locked="0" layoutInCell="0" allowOverlap="1" relativeHeight="3">
            <wp:simplePos x="0" y="0"/>
            <wp:positionH relativeFrom="column">
              <wp:posOffset>3848100</wp:posOffset>
            </wp:positionH>
            <wp:positionV relativeFrom="paragraph">
              <wp:posOffset>635</wp:posOffset>
            </wp:positionV>
            <wp:extent cx="886460" cy="695325"/>
            <wp:effectExtent l="0" t="0" r="0" b="0"/>
            <wp:wrapTight wrapText="bothSides">
              <wp:wrapPolygon edited="0">
                <wp:start x="-469" y="0"/>
                <wp:lineTo x="-469" y="21277"/>
                <wp:lineTo x="21811" y="21277"/>
                <wp:lineTo x="21811" y="0"/>
                <wp:lineTo x="-469" y="0"/>
              </wp:wrapPolygon>
            </wp:wrapTight>
            <wp:docPr id="1" name="Immagine 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8" descr=""/>
                    <pic:cNvPicPr>
                      <a:picLocks noChangeAspect="1" noChangeArrowheads="1"/>
                    </pic:cNvPicPr>
                  </pic:nvPicPr>
                  <pic:blipFill>
                    <a:blip r:embed="rId2"/>
                    <a:stretch>
                      <a:fillRect/>
                    </a:stretch>
                  </pic:blipFill>
                  <pic:spPr bwMode="auto">
                    <a:xfrm>
                      <a:off x="0" y="0"/>
                      <a:ext cx="886460" cy="695325"/>
                    </a:xfrm>
                    <a:prstGeom prst="rect">
                      <a:avLst/>
                    </a:prstGeom>
                    <a:solidFill>
                      <a:srgbClr val="ffffff"/>
                    </a:solidFill>
                  </pic:spPr>
                </pic:pic>
              </a:graphicData>
            </a:graphic>
          </wp:anchor>
        </w:drawing>
        <w:drawing>
          <wp:inline distT="0" distB="0" distL="0" distR="0">
            <wp:extent cx="2698115" cy="828675"/>
            <wp:effectExtent l="0" t="0" r="0" b="0"/>
            <wp:docPr id="2" name="Immagine 1" descr="C:\Users\luigi\Desktop\LOGO STAMP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1" descr="C:\Users\luigi\Desktop\LOGO STAMPA.JPG"/>
                    <pic:cNvPicPr>
                      <a:picLocks noChangeAspect="1" noChangeArrowheads="1"/>
                    </pic:cNvPicPr>
                  </pic:nvPicPr>
                  <pic:blipFill>
                    <a:blip r:embed="rId3"/>
                    <a:stretch>
                      <a:fillRect/>
                    </a:stretch>
                  </pic:blipFill>
                  <pic:spPr bwMode="auto">
                    <a:xfrm>
                      <a:off x="0" y="0"/>
                      <a:ext cx="2698115" cy="828675"/>
                    </a:xfrm>
                    <a:prstGeom prst="rect">
                      <a:avLst/>
                    </a:prstGeom>
                    <a:noFill/>
                  </pic:spPr>
                </pic:pic>
              </a:graphicData>
            </a:graphic>
          </wp:inline>
        </w:drawing>
      </w:r>
    </w:p>
    <w:tbl>
      <w:tblPr>
        <w:tblpPr w:vertAnchor="text" w:horzAnchor="margin" w:tblpXSpec="center" w:leftFromText="141" w:rightFromText="141" w:tblpY="547"/>
        <w:tblW w:w="9639" w:type="dxa"/>
        <w:jc w:val="center"/>
        <w:tblInd w:w="0" w:type="dxa"/>
        <w:tblLayout w:type="fixed"/>
        <w:tblCellMar>
          <w:top w:w="144" w:type="dxa"/>
          <w:left w:w="0" w:type="dxa"/>
          <w:bottom w:w="0" w:type="dxa"/>
          <w:right w:w="0" w:type="dxa"/>
        </w:tblCellMar>
        <w:tblLook w:firstRow="0" w:noVBand="0" w:lastRow="0" w:firstColumn="0" w:lastColumn="0" w:noHBand="0" w:val="0000"/>
      </w:tblPr>
      <w:tblGrid>
        <w:gridCol w:w="3544"/>
        <w:gridCol w:w="3260"/>
        <w:gridCol w:w="2835"/>
      </w:tblGrid>
      <w:tr>
        <w:trPr>
          <w:trHeight w:val="565" w:hRule="atLeast"/>
        </w:trPr>
        <w:tc>
          <w:tcPr>
            <w:tcW w:w="3544" w:type="dxa"/>
            <w:tcBorders>
              <w:bottom w:val="single" w:sz="4" w:space="0" w:color="C0C0C0"/>
            </w:tcBorders>
            <w:shd w:color="auto" w:fill="FFFFFF" w:val="clear"/>
          </w:tcPr>
          <w:p>
            <w:pPr>
              <w:pStyle w:val="NormalWeb"/>
              <w:widowControl w:val="false"/>
              <w:spacing w:lineRule="auto" w:line="264" w:before="0" w:after="0"/>
              <w:ind w:left="0" w:right="-54"/>
              <w:rPr>
                <w:rFonts w:ascii="Tahoma" w:hAnsi="Tahoma" w:cs="Tahoma"/>
                <w:b/>
                <w:i/>
                <w:i/>
                <w:color w:val="auto"/>
                <w:sz w:val="16"/>
                <w:szCs w:val="16"/>
                <w:lang w:val="it-IT"/>
              </w:rPr>
            </w:pPr>
            <w:r>
              <w:rPr>
                <w:rFonts w:cs="Tahoma" w:ascii="Tahoma" w:hAnsi="Tahoma"/>
                <w:b/>
                <w:i/>
                <w:color w:val="auto"/>
                <w:sz w:val="16"/>
                <w:szCs w:val="16"/>
                <w:lang w:val="it-IT"/>
              </w:rPr>
              <w:t>Istituto Statale di Istruzione Superiore</w:t>
            </w:r>
          </w:p>
          <w:p>
            <w:pPr>
              <w:pStyle w:val="NormalWeb"/>
              <w:widowControl w:val="false"/>
              <w:spacing w:lineRule="auto" w:line="240" w:before="0" w:after="0"/>
              <w:ind w:left="0"/>
              <w:rPr>
                <w:rFonts w:ascii="Tahoma" w:hAnsi="Tahoma" w:cs="Tahoma"/>
                <w:i/>
                <w:i/>
                <w:sz w:val="16"/>
                <w:szCs w:val="16"/>
              </w:rPr>
            </w:pPr>
            <w:r>
              <w:rPr>
                <w:rFonts w:cs="Tahoma" w:ascii="Tahoma" w:hAnsi="Tahoma"/>
                <w:i/>
                <w:sz w:val="16"/>
                <w:szCs w:val="16"/>
              </w:rPr>
            </w:r>
          </w:p>
          <w:p>
            <w:pPr>
              <w:pStyle w:val="Normal"/>
              <w:rPr>
                <w:i/>
                <w:i/>
                <w:lang w:val="en-US" w:eastAsia="ja-JP" w:bidi="ar-SA"/>
              </w:rPr>
            </w:pPr>
            <w:r>
              <w:rPr>
                <w:i/>
                <w:lang w:val="en-US" w:eastAsia="ja-JP" w:bidi="ar-SA"/>
              </w:rPr>
            </w:r>
          </w:p>
        </w:tc>
        <w:tc>
          <w:tcPr>
            <w:tcW w:w="3260" w:type="dxa"/>
            <w:tcBorders>
              <w:bottom w:val="single" w:sz="4" w:space="0" w:color="C0C0C0"/>
            </w:tcBorders>
            <w:shd w:color="auto" w:fill="FFFFFF" w:val="clear"/>
          </w:tcPr>
          <w:p>
            <w:pPr>
              <w:pStyle w:val="Heading2"/>
              <w:tabs>
                <w:tab w:val="clear" w:pos="576"/>
                <w:tab w:val="left" w:pos="1440" w:leader="none"/>
              </w:tabs>
              <w:spacing w:lineRule="auto" w:line="264" w:before="0" w:after="0"/>
              <w:ind w:hanging="0" w:left="211"/>
              <w:rPr>
                <w:rFonts w:ascii="Tahoma" w:hAnsi="Tahoma" w:cs="Tahoma"/>
                <w:i/>
                <w:i/>
                <w:iCs/>
                <w:color w:val="auto"/>
                <w:sz w:val="16"/>
                <w:szCs w:val="16"/>
              </w:rPr>
            </w:pPr>
            <w:r>
              <w:rPr>
                <w:rFonts w:cs="Tahoma" w:ascii="Tahoma" w:hAnsi="Tahoma"/>
                <w:b/>
                <w:bCs/>
                <w:i/>
                <w:color w:val="auto"/>
                <w:sz w:val="16"/>
                <w:szCs w:val="16"/>
              </w:rPr>
              <w:t xml:space="preserve">      </w:t>
            </w:r>
            <w:r>
              <w:rPr>
                <w:rFonts w:cs="Tahoma" w:ascii="Tahoma" w:hAnsi="Tahoma"/>
                <w:b/>
                <w:bCs/>
                <w:i/>
                <w:color w:val="auto"/>
                <w:sz w:val="16"/>
                <w:szCs w:val="16"/>
              </w:rPr>
              <w:t>Settore Economico</w:t>
            </w:r>
          </w:p>
          <w:p>
            <w:pPr>
              <w:pStyle w:val="Heading2"/>
              <w:tabs>
                <w:tab w:val="clear" w:pos="576"/>
                <w:tab w:val="left" w:pos="300" w:leader="none"/>
                <w:tab w:val="left" w:pos="1296" w:leader="none"/>
                <w:tab w:val="left" w:pos="1440" w:leader="none"/>
                <w:tab w:val="left" w:pos="4464" w:leader="none"/>
              </w:tabs>
              <w:spacing w:lineRule="auto" w:line="264" w:before="0" w:after="0"/>
              <w:ind w:hanging="0" w:left="211"/>
              <w:rPr>
                <w:rFonts w:ascii="Tahoma" w:hAnsi="Tahoma" w:cs="Tahoma"/>
                <w:i/>
                <w:i/>
                <w:iCs/>
                <w:color w:val="auto"/>
                <w:sz w:val="16"/>
                <w:szCs w:val="16"/>
              </w:rPr>
            </w:pPr>
            <w:r>
              <w:rPr>
                <w:rFonts w:cs="Tahoma" w:ascii="Tahoma" w:hAnsi="Tahoma"/>
                <w:i/>
                <w:iCs/>
                <w:color w:val="auto"/>
                <w:sz w:val="16"/>
                <w:szCs w:val="16"/>
              </w:rPr>
            </w:r>
          </w:p>
        </w:tc>
        <w:tc>
          <w:tcPr>
            <w:tcW w:w="2835" w:type="dxa"/>
            <w:tcBorders>
              <w:bottom w:val="single" w:sz="4" w:space="0" w:color="C0C0C0"/>
            </w:tcBorders>
            <w:shd w:color="auto" w:fill="FFFFFF" w:val="clear"/>
          </w:tcPr>
          <w:p>
            <w:pPr>
              <w:pStyle w:val="Heading2"/>
              <w:tabs>
                <w:tab w:val="clear" w:pos="576"/>
                <w:tab w:val="left" w:pos="1440" w:leader="none"/>
              </w:tabs>
              <w:spacing w:lineRule="atLeast" w:line="100" w:before="0" w:after="0"/>
              <w:ind w:hanging="0" w:left="0"/>
              <w:rPr>
                <w:rFonts w:ascii="Tahoma" w:hAnsi="Tahoma" w:cs="Tahoma"/>
                <w:b/>
                <w:bCs/>
                <w:i/>
                <w:i/>
                <w:color w:val="auto"/>
                <w:sz w:val="16"/>
                <w:szCs w:val="16"/>
              </w:rPr>
            </w:pPr>
            <w:r>
              <w:rPr>
                <w:rFonts w:cs="Tahoma" w:ascii="Tahoma" w:hAnsi="Tahoma"/>
                <w:b/>
                <w:bCs/>
                <w:i/>
                <w:color w:val="auto"/>
                <w:sz w:val="16"/>
                <w:szCs w:val="16"/>
              </w:rPr>
              <w:t xml:space="preserve">             </w:t>
            </w:r>
            <w:r>
              <w:rPr>
                <w:rFonts w:cs="Tahoma" w:ascii="Tahoma" w:hAnsi="Tahoma"/>
                <w:b/>
                <w:bCs/>
                <w:i/>
                <w:color w:val="auto"/>
                <w:sz w:val="16"/>
                <w:szCs w:val="16"/>
              </w:rPr>
              <w:t>Settore Tecnologico</w:t>
            </w:r>
          </w:p>
          <w:p>
            <w:pPr>
              <w:pStyle w:val="BodyText"/>
              <w:spacing w:before="0" w:after="120"/>
              <w:rPr>
                <w:i/>
                <w:i/>
                <w:sz w:val="16"/>
                <w:szCs w:val="16"/>
              </w:rPr>
            </w:pPr>
            <w:r>
              <w:rPr>
                <w:i/>
                <w:sz w:val="16"/>
                <w:szCs w:val="16"/>
              </w:rPr>
            </w:r>
          </w:p>
        </w:tc>
      </w:tr>
      <w:tr>
        <w:trPr>
          <w:trHeight w:val="86" w:hRule="atLeast"/>
        </w:trPr>
        <w:tc>
          <w:tcPr>
            <w:tcW w:w="3544" w:type="dxa"/>
            <w:tcBorders>
              <w:top w:val="single" w:sz="4" w:space="0" w:color="C0C0C0"/>
            </w:tcBorders>
            <w:shd w:color="auto" w:fill="FFFFFF" w:val="clear"/>
          </w:tcPr>
          <w:p>
            <w:pPr>
              <w:pStyle w:val="NormalWeb"/>
              <w:widowControl w:val="false"/>
              <w:spacing w:lineRule="auto" w:line="264" w:before="0" w:after="0"/>
              <w:ind w:left="0" w:right="-54"/>
              <w:rPr>
                <w:rFonts w:ascii="Times New Roman" w:hAnsi="Times New Roman" w:cs="Times New Roman"/>
                <w:b/>
                <w:i/>
                <w:i/>
                <w:color w:val="auto"/>
                <w:lang w:val="it-IT"/>
              </w:rPr>
            </w:pPr>
            <w:r>
              <w:rPr>
                <w:rFonts w:cs="Times New Roman" w:ascii="Times New Roman" w:hAnsi="Times New Roman"/>
                <w:b/>
                <w:i/>
                <w:color w:val="auto"/>
                <w:lang w:val="it-IT"/>
              </w:rPr>
              <w:t>www.buonarroti-fossombroni.it</w:t>
            </w:r>
          </w:p>
        </w:tc>
        <w:tc>
          <w:tcPr>
            <w:tcW w:w="3260" w:type="dxa"/>
            <w:tcBorders>
              <w:top w:val="single" w:sz="4" w:space="0" w:color="C0C0C0"/>
            </w:tcBorders>
            <w:shd w:color="auto" w:fill="FFFFFF" w:val="clear"/>
          </w:tcPr>
          <w:p>
            <w:pPr>
              <w:pStyle w:val="Heading2"/>
              <w:tabs>
                <w:tab w:val="clear" w:pos="576"/>
                <w:tab w:val="left" w:pos="1440" w:leader="none"/>
              </w:tabs>
              <w:spacing w:lineRule="auto" w:line="264" w:before="0" w:after="0"/>
              <w:rPr>
                <w:rFonts w:ascii="Times New Roman" w:hAnsi="Times New Roman" w:cs="Times New Roman"/>
                <w:b/>
                <w:bCs/>
                <w:i/>
                <w:i/>
                <w:color w:val="auto"/>
                <w:sz w:val="20"/>
                <w:szCs w:val="20"/>
              </w:rPr>
            </w:pPr>
            <w:r>
              <w:rPr>
                <w:i/>
              </w:rPr>
              <w:t xml:space="preserve">   </w:t>
            </w:r>
            <w:hyperlink r:id="rId4">
              <w:r>
                <w:rPr>
                  <w:rStyle w:val="Hyperlink"/>
                  <w:rFonts w:cs="Times New Roman" w:ascii="Times New Roman" w:hAnsi="Times New Roman"/>
                  <w:b/>
                  <w:i/>
                  <w:color w:val="auto"/>
                  <w:sz w:val="20"/>
                  <w:szCs w:val="20"/>
                  <w:u w:val="none"/>
                </w:rPr>
                <w:t>aris013007@istruzione.it</w:t>
              </w:r>
            </w:hyperlink>
          </w:p>
        </w:tc>
        <w:tc>
          <w:tcPr>
            <w:tcW w:w="2835" w:type="dxa"/>
            <w:tcBorders>
              <w:top w:val="single" w:sz="4" w:space="0" w:color="C0C0C0"/>
            </w:tcBorders>
            <w:shd w:color="auto" w:fill="FFFFFF" w:val="clear"/>
          </w:tcPr>
          <w:p>
            <w:pPr>
              <w:pStyle w:val="Heading2"/>
              <w:tabs>
                <w:tab w:val="clear" w:pos="576"/>
                <w:tab w:val="left" w:pos="1440" w:leader="none"/>
              </w:tabs>
              <w:spacing w:lineRule="atLeast" w:line="100" w:before="0" w:after="0"/>
              <w:ind w:hanging="0" w:left="0"/>
              <w:rPr>
                <w:rFonts w:ascii="Times New Roman" w:hAnsi="Times New Roman" w:cs="Times New Roman"/>
                <w:b/>
                <w:bCs/>
                <w:i/>
                <w:i/>
                <w:color w:val="auto"/>
                <w:sz w:val="20"/>
                <w:szCs w:val="20"/>
              </w:rPr>
            </w:pPr>
            <w:hyperlink r:id="rId5">
              <w:r>
                <w:rPr>
                  <w:rStyle w:val="Hyperlink"/>
                  <w:rFonts w:cs="Times New Roman" w:ascii="Times New Roman" w:hAnsi="Times New Roman"/>
                  <w:b/>
                  <w:i/>
                  <w:color w:val="auto"/>
                  <w:sz w:val="20"/>
                  <w:szCs w:val="20"/>
                  <w:u w:val="none"/>
                </w:rPr>
                <w:t>aris013007@pec.istruzione.it</w:t>
              </w:r>
            </w:hyperlink>
          </w:p>
        </w:tc>
      </w:tr>
    </w:tbl>
    <w:p>
      <w:pPr>
        <w:pStyle w:val="Title"/>
        <w:rPr>
          <w:rFonts w:ascii="Times New Roman" w:hAnsi="Times New Roman" w:cs="Times New Roman"/>
          <w:sz w:val="40"/>
          <w:szCs w:val="40"/>
          <w:lang w:val="it-IT"/>
        </w:rPr>
      </w:pPr>
      <w:r>
        <w:rPr>
          <w:rFonts w:cs="Times New Roman" w:ascii="Times New Roman" w:hAnsi="Times New Roman"/>
          <w:sz w:val="40"/>
          <w:szCs w:val="40"/>
          <w:lang w:val="it-IT"/>
        </w:rPr>
      </w:r>
    </w:p>
    <w:p>
      <w:pPr>
        <w:pStyle w:val="Title"/>
        <w:rPr>
          <w:rFonts w:ascii="Times New Roman" w:hAnsi="Times New Roman" w:cs="Times New Roman"/>
          <w:sz w:val="40"/>
          <w:szCs w:val="40"/>
          <w:lang w:val="it-IT"/>
        </w:rPr>
      </w:pPr>
      <w:r>
        <w:rPr>
          <w:rFonts w:cs="Times New Roman" w:ascii="Times New Roman" w:hAnsi="Times New Roman"/>
          <w:sz w:val="40"/>
          <w:szCs w:val="40"/>
          <w:lang w:val="it-IT"/>
        </w:rPr>
        <w:t>CONVENZIONE</w:t>
      </w:r>
    </w:p>
    <w:p>
      <w:pPr>
        <w:pStyle w:val="NormalWeb"/>
        <w:widowControl w:val="false"/>
        <w:spacing w:before="0" w:after="0"/>
        <w:ind w:left="-1701" w:right="-1792"/>
        <w:rPr>
          <w:rFonts w:ascii="Times New Roman" w:hAnsi="Times New Roman" w:cs="Times New Roman"/>
          <w:sz w:val="24"/>
          <w:szCs w:val="24"/>
          <w:lang w:val="it-IT"/>
        </w:rPr>
      </w:pPr>
      <w:r>
        <w:rPr>
          <w:rFonts w:cs="Times New Roman" w:ascii="Times New Roman" w:hAnsi="Times New Roman"/>
          <w:sz w:val="24"/>
          <w:szCs w:val="24"/>
          <w:lang w:val="it-IT"/>
        </w:rPr>
      </w:r>
    </w:p>
    <w:p>
      <w:pPr>
        <w:pStyle w:val="NormalWeb"/>
        <w:widowControl w:val="false"/>
        <w:spacing w:before="0" w:after="0"/>
        <w:ind w:left="-1701" w:right="-1792"/>
        <w:rPr>
          <w:rFonts w:ascii="Times New Roman" w:hAnsi="Times New Roman" w:cs="Times New Roman"/>
          <w:sz w:val="24"/>
          <w:szCs w:val="24"/>
          <w:lang w:val="it-IT"/>
        </w:rPr>
      </w:pPr>
      <w:r>
        <w:rPr>
          <w:rFonts w:cs="Times New Roman" w:ascii="Times New Roman" w:hAnsi="Times New Roman"/>
          <w:sz w:val="24"/>
          <w:szCs w:val="24"/>
          <w:lang w:val="it-IT"/>
        </w:rPr>
        <w:t xml:space="preserve">Protocollo ……………………. </w:t>
      </w:r>
    </w:p>
    <w:p>
      <w:pPr>
        <w:pStyle w:val="Normal"/>
        <w:ind w:left="-1701" w:right="-1792"/>
        <w:rPr>
          <w:rFonts w:cs="Times New Roman"/>
          <w:color w:val="auto"/>
        </w:rPr>
      </w:pPr>
      <w:r>
        <w:rPr>
          <w:rFonts w:cs="Times New Roman"/>
          <w:color w:val="auto"/>
        </w:rPr>
      </w:r>
    </w:p>
    <w:p>
      <w:pPr>
        <w:pStyle w:val="NormalWeb"/>
        <w:widowControl w:val="false"/>
        <w:spacing w:before="0" w:after="0"/>
        <w:ind w:left="-1701" w:right="-1792"/>
        <w:rPr>
          <w:rFonts w:ascii="Times New Roman" w:hAnsi="Times New Roman" w:cs="Times New Roman"/>
          <w:lang w:val="it-IT"/>
        </w:rPr>
      </w:pPr>
      <w:r>
        <w:rPr>
          <w:rFonts w:cs="Times New Roman" w:ascii="Times New Roman" w:hAnsi="Times New Roman"/>
          <w:lang w:val="it-IT"/>
        </w:rPr>
      </w:r>
    </w:p>
    <w:p>
      <w:pPr>
        <w:pStyle w:val="Normal"/>
        <w:spacing w:lineRule="auto" w:line="360"/>
        <w:ind w:left="-1701" w:right="-1792"/>
        <w:jc w:val="both"/>
        <w:rPr>
          <w:rFonts w:cs="Times New Roman"/>
        </w:rPr>
      </w:pPr>
      <w:r>
        <w:rPr>
          <w:rFonts w:cs="Times New Roman"/>
        </w:rPr>
        <w:t>Tra l' Istituto Statale di Istruzione Superiore "</w:t>
      </w:r>
      <w:r>
        <w:rPr>
          <w:rFonts w:cs="Times New Roman"/>
          <w:b/>
        </w:rPr>
        <w:t>BUONARROTI - FOSSOMBRONI"</w:t>
      </w:r>
      <w:r>
        <w:rPr>
          <w:rFonts w:cs="Times New Roman"/>
        </w:rPr>
        <w:t xml:space="preserve"> di Arezzo CF 80008840516 rappresentato dal Dirigente Scolastico prof. Paolo Carlani, ed il soggetto ospitante </w:t>
      </w:r>
      <w:r>
        <w:rPr>
          <w:rFonts w:cs="Times New Roman"/>
          <w:color w:val="FF0000"/>
        </w:rPr>
        <w:t>[DENOMINAZIONE ED INDIRIZZO],</w:t>
      </w:r>
      <w:r>
        <w:rPr>
          <w:rFonts w:cs="Times New Roman"/>
        </w:rPr>
        <w:t xml:space="preserve"> </w:t>
      </w:r>
      <w:r>
        <w:rPr>
          <w:rFonts w:cs="Times New Roman"/>
          <w:color w:val="FF0000"/>
        </w:rPr>
        <w:t>Partita IVA/CF [NUMERO] LEGALE RAPPRESENTANTE (LUOGO E DATA DI NASCITA)</w:t>
      </w:r>
      <w:r>
        <w:rPr>
          <w:rFonts w:cs="Times New Roman"/>
        </w:rPr>
        <w:t>,  il quale interviene al presente atto, allo scopo di offrire agli studenti concrete occasioni per migliorare le conoscenze tecniche e la preparazione scolastica, con l'obiettivo di sviluppare le capacità e le abilità maturate nei corsi curricolari,</w:t>
      </w:r>
    </w:p>
    <w:p>
      <w:pPr>
        <w:pStyle w:val="Normal"/>
        <w:spacing w:lineRule="auto" w:line="360"/>
        <w:ind w:left="-1701" w:right="-1792"/>
        <w:jc w:val="both"/>
        <w:rPr>
          <w:rFonts w:cs="Times New Roman"/>
        </w:rPr>
      </w:pPr>
      <w:r>
        <w:rPr>
          <w:rFonts w:cs="Times New Roman"/>
        </w:rPr>
        <w:t xml:space="preserve">VISTA la delibera del CONSIGLIO </w:t>
      </w:r>
      <w:r>
        <w:rPr>
          <w:rFonts w:cs="Times New Roman"/>
          <w:color w:val="auto"/>
        </w:rPr>
        <w:t>D’ISTITUTO del 23 ottobre 2019,</w:t>
      </w:r>
      <w:r>
        <w:rPr>
          <w:rFonts w:cs="Times New Roman"/>
        </w:rPr>
        <w:t xml:space="preserve"> </w:t>
      </w:r>
    </w:p>
    <w:p>
      <w:pPr>
        <w:pStyle w:val="Normal"/>
        <w:spacing w:lineRule="auto" w:line="360"/>
        <w:ind w:left="-1701" w:right="-1792"/>
        <w:jc w:val="center"/>
        <w:rPr>
          <w:rFonts w:cs="Times New Roman"/>
          <w:b/>
        </w:rPr>
      </w:pPr>
      <w:r>
        <w:rPr>
          <w:rFonts w:cs="Times New Roman"/>
          <w:b/>
        </w:rPr>
      </w:r>
    </w:p>
    <w:p>
      <w:pPr>
        <w:pStyle w:val="Normal"/>
        <w:spacing w:lineRule="auto" w:line="360"/>
        <w:ind w:left="-1701" w:right="-1792"/>
        <w:jc w:val="center"/>
        <w:rPr>
          <w:rFonts w:cs="Times New Roman"/>
          <w:b/>
        </w:rPr>
      </w:pPr>
      <w:r>
        <w:rPr>
          <w:rFonts w:cs="Times New Roman"/>
          <w:b/>
        </w:rPr>
        <w:t>PREMESSO CHE</w:t>
      </w:r>
    </w:p>
    <w:p>
      <w:pPr>
        <w:pStyle w:val="Normal"/>
        <w:spacing w:lineRule="auto" w:line="360"/>
        <w:ind w:left="-1701" w:right="-1792"/>
        <w:jc w:val="center"/>
        <w:rPr>
          <w:rFonts w:cs="Times New Roman"/>
          <w:b/>
        </w:rPr>
      </w:pPr>
      <w:r>
        <w:rPr>
          <w:rFonts w:cs="Times New Roman"/>
          <w:b/>
        </w:rPr>
      </w:r>
    </w:p>
    <w:p>
      <w:pPr>
        <w:pStyle w:val="Normal"/>
        <w:spacing w:lineRule="auto" w:line="360"/>
        <w:ind w:left="-1701" w:right="-1792"/>
        <w:jc w:val="both"/>
        <w:rPr>
          <w:rFonts w:cs="Times New Roman"/>
        </w:rPr>
      </w:pPr>
      <w:r>
        <w:rPr>
          <w:rFonts w:cs="Times New Roman"/>
        </w:rPr>
        <w:t xml:space="preserve"> </w:t>
      </w:r>
      <w:r>
        <w:rPr>
          <w:rFonts w:cs="Times New Roman"/>
        </w:rPr>
        <w:t xml:space="preserve">- la   legge  30  dicembre  2018, n. 145,  recante  “Bilancio  di  previsione  dello   Stato  per   l’anno      </w:t>
      </w:r>
    </w:p>
    <w:p>
      <w:pPr>
        <w:pStyle w:val="Normal"/>
        <w:spacing w:lineRule="auto" w:line="360"/>
        <w:ind w:left="-1701" w:right="-1792"/>
        <w:jc w:val="both"/>
        <w:rPr>
          <w:rFonts w:cs="Times New Roman"/>
        </w:rPr>
      </w:pPr>
      <w:r>
        <w:rPr>
          <w:rFonts w:cs="Times New Roman"/>
        </w:rPr>
        <w:t xml:space="preserve">   </w:t>
      </w:r>
      <w:r>
        <w:rPr>
          <w:rFonts w:cs="Times New Roman"/>
        </w:rPr>
        <w:t xml:space="preserve">Finanziario  2019  e  bilancio  pluriennale  per  il triennio 2019-2021” (legge di Bilancio 2019) ha     </w:t>
      </w:r>
    </w:p>
    <w:p>
      <w:pPr>
        <w:pStyle w:val="Normal"/>
        <w:spacing w:lineRule="auto" w:line="360"/>
        <w:ind w:left="-1701" w:right="-1792"/>
        <w:jc w:val="both"/>
        <w:rPr>
          <w:rFonts w:cs="Times New Roman"/>
        </w:rPr>
      </w:pPr>
      <w:r>
        <w:rPr>
          <w:rFonts w:cs="Times New Roman"/>
        </w:rPr>
        <w:t xml:space="preserve">   </w:t>
      </w:r>
      <w:r>
        <w:rPr>
          <w:rFonts w:cs="Times New Roman"/>
        </w:rPr>
        <w:t xml:space="preserve">disposto  la  ridenominazione  dei percorsi di alternanza scuola lavoro di cui al decreto legislativo    </w:t>
      </w:r>
    </w:p>
    <w:p>
      <w:pPr>
        <w:pStyle w:val="Normal"/>
        <w:spacing w:lineRule="auto" w:line="360"/>
        <w:ind w:left="-1701" w:right="-1792"/>
        <w:jc w:val="both"/>
        <w:rPr>
          <w:rFonts w:cs="Times New Roman"/>
        </w:rPr>
      </w:pPr>
      <w:r>
        <w:rPr>
          <w:rFonts w:cs="Times New Roman"/>
        </w:rPr>
        <w:t xml:space="preserve">   </w:t>
      </w:r>
      <w:r>
        <w:rPr>
          <w:rFonts w:cs="Times New Roman"/>
        </w:rPr>
        <w:t xml:space="preserve">15 aprile 2005, n. 77,  in “percorsi per le  competenze  trasversali  e  per l’orientamento” - ai sensi    </w:t>
      </w:r>
    </w:p>
    <w:p>
      <w:pPr>
        <w:pStyle w:val="Normal"/>
        <w:spacing w:lineRule="auto" w:line="360"/>
        <w:ind w:left="-1701" w:right="-1792"/>
        <w:jc w:val="both"/>
        <w:rPr>
          <w:rFonts w:cs="Times New Roman"/>
        </w:rPr>
      </w:pPr>
      <w:r>
        <w:rPr>
          <w:rFonts w:cs="Times New Roman"/>
        </w:rPr>
        <w:t xml:space="preserve">   </w:t>
      </w:r>
      <w:r>
        <w:rPr>
          <w:rFonts w:cs="Times New Roman"/>
        </w:rPr>
        <w:t xml:space="preserve">dell’art. 1 del D. Lgs. 77/05, tali percorsi costituiscono una modalità di realizzazione dei corsi nel    </w:t>
      </w:r>
    </w:p>
    <w:p>
      <w:pPr>
        <w:pStyle w:val="Normal"/>
        <w:spacing w:lineRule="auto" w:line="360"/>
        <w:ind w:left="-1701" w:right="-1792"/>
        <w:jc w:val="both"/>
        <w:rPr>
          <w:rFonts w:cs="Times New Roman"/>
        </w:rPr>
      </w:pPr>
      <w:r>
        <w:rPr>
          <w:rFonts w:cs="Times New Roman"/>
        </w:rPr>
        <w:t xml:space="preserve">   </w:t>
      </w:r>
      <w:r>
        <w:rPr>
          <w:rFonts w:cs="Times New Roman"/>
        </w:rPr>
        <w:t xml:space="preserve">secondo  ciclo  del  sistema  d’istruzione e formazione, per assicurare ai giovani l’acquisizione di    </w:t>
      </w:r>
    </w:p>
    <w:p>
      <w:pPr>
        <w:pStyle w:val="Normal"/>
        <w:spacing w:lineRule="auto" w:line="360"/>
        <w:ind w:left="-1701" w:right="-1792"/>
        <w:jc w:val="both"/>
        <w:rPr>
          <w:rFonts w:cs="Times New Roman"/>
        </w:rPr>
      </w:pPr>
      <w:r>
        <w:rPr>
          <w:rFonts w:cs="Times New Roman"/>
        </w:rPr>
        <w:t xml:space="preserve">   </w:t>
      </w:r>
      <w:r>
        <w:rPr>
          <w:rFonts w:cs="Times New Roman"/>
        </w:rPr>
        <w:t xml:space="preserve">competenze spendibili nel mercato del lavoro; </w:t>
      </w:r>
    </w:p>
    <w:p>
      <w:pPr>
        <w:pStyle w:val="Normal"/>
        <w:spacing w:lineRule="auto" w:line="360"/>
        <w:ind w:left="-1701" w:right="-1792"/>
        <w:jc w:val="both"/>
        <w:rPr>
          <w:rFonts w:cs="Times New Roman"/>
        </w:rPr>
      </w:pPr>
      <w:r>
        <w:rPr>
          <w:rFonts w:cs="Times New Roman"/>
        </w:rPr>
        <w:t xml:space="preserve">- ai   sensi   della  legge  13 luglio  2015  n.107,  art.1,  commi  33 - 43,  i  percorsi  in  esame   sono </w:t>
      </w:r>
    </w:p>
    <w:p>
      <w:pPr>
        <w:pStyle w:val="Normal"/>
        <w:spacing w:lineRule="auto" w:line="360"/>
        <w:ind w:left="-1701" w:right="-1792"/>
        <w:jc w:val="both"/>
        <w:rPr>
          <w:rFonts w:cs="Times New Roman"/>
        </w:rPr>
      </w:pPr>
      <w:r>
        <w:rPr>
          <w:rFonts w:cs="Times New Roman"/>
        </w:rPr>
        <w:t xml:space="preserve">  </w:t>
      </w:r>
      <w:r>
        <w:rPr>
          <w:rFonts w:cs="Times New Roman"/>
        </w:rPr>
        <w:t xml:space="preserve">organicamente  inseriti nel Piano Triennale dell’Offerta Formativa dell’istituzione scolastica come  </w:t>
      </w:r>
    </w:p>
    <w:p>
      <w:pPr>
        <w:pStyle w:val="Normal"/>
        <w:spacing w:lineRule="auto" w:line="360"/>
        <w:ind w:left="-1701" w:right="-1792"/>
        <w:jc w:val="both"/>
        <w:rPr>
          <w:rFonts w:cs="Times New Roman"/>
        </w:rPr>
      </w:pPr>
      <w:r>
        <w:rPr>
          <w:rFonts w:cs="Times New Roman"/>
        </w:rPr>
        <w:t xml:space="preserve">  </w:t>
      </w:r>
      <w:r>
        <w:rPr>
          <w:rFonts w:cs="Times New Roman"/>
        </w:rPr>
        <w:t xml:space="preserve">parte integrante dei percorsi di istruzione; </w:t>
      </w:r>
    </w:p>
    <w:p>
      <w:pPr>
        <w:pStyle w:val="Normal"/>
        <w:spacing w:lineRule="auto" w:line="360"/>
        <w:ind w:left="-1701" w:right="-1792"/>
        <w:jc w:val="both"/>
        <w:rPr>
          <w:rFonts w:cs="Times New Roman"/>
        </w:rPr>
      </w:pPr>
      <w:r>
        <w:rPr>
          <w:rFonts w:cs="Times New Roman"/>
        </w:rPr>
        <w:t xml:space="preserve">- durante i percorsi  gli studenti  sono soggetti all’applicazione  delle disposizioni del d.lgs. 9  aprile </w:t>
      </w:r>
    </w:p>
    <w:p>
      <w:pPr>
        <w:pStyle w:val="Normal"/>
        <w:spacing w:lineRule="auto" w:line="360"/>
        <w:ind w:left="-1701" w:right="-1792"/>
        <w:jc w:val="both"/>
        <w:rPr>
          <w:rFonts w:cs="Times New Roman"/>
        </w:rPr>
      </w:pPr>
      <w:r>
        <w:rPr>
          <w:rFonts w:cs="Times New Roman"/>
        </w:rPr>
        <w:t xml:space="preserve">  </w:t>
      </w:r>
      <w:r>
        <w:rPr>
          <w:rFonts w:cs="Times New Roman"/>
        </w:rPr>
        <w:t xml:space="preserve">2008, n. 81 e successive modifiche e integrazioni; </w:t>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rPr>
      </w:pPr>
      <w:r>
        <w:rPr>
          <w:rFonts w:cs="Times New Roman"/>
        </w:rPr>
        <w:t xml:space="preserve"> </w:t>
      </w:r>
    </w:p>
    <w:p>
      <w:pPr>
        <w:pStyle w:val="Normal"/>
        <w:spacing w:lineRule="auto" w:line="360"/>
        <w:ind w:left="-1701" w:right="-1792"/>
        <w:jc w:val="center"/>
        <w:rPr>
          <w:rFonts w:cs="Times New Roman"/>
          <w:b/>
        </w:rPr>
      </w:pPr>
      <w:r>
        <w:rPr>
          <w:rFonts w:cs="Times New Roman"/>
          <w:b/>
        </w:rPr>
        <w:t>SI STABILISCE QUANTO SEGUE:</w:t>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center"/>
        <w:rPr>
          <w:rFonts w:cs="Times New Roman"/>
          <w:b/>
        </w:rPr>
      </w:pPr>
      <w:r>
        <w:rPr>
          <w:rFonts w:cs="Times New Roman"/>
          <w:b/>
        </w:rPr>
        <w:t>Art. 1.</w:t>
      </w:r>
    </w:p>
    <w:p>
      <w:pPr>
        <w:pStyle w:val="Normal"/>
        <w:spacing w:lineRule="auto" w:line="360"/>
        <w:ind w:left="-1701" w:right="-1792"/>
        <w:jc w:val="both"/>
        <w:rPr>
          <w:rFonts w:cs="Times New Roman"/>
        </w:rPr>
      </w:pPr>
      <w:r>
        <w:rPr>
          <w:rFonts w:cs="Times New Roman"/>
        </w:rPr>
        <w:t>La [</w:t>
      </w:r>
      <w:r>
        <w:rPr>
          <w:rFonts w:cs="Times New Roman"/>
          <w:color w:val="FF0000"/>
        </w:rPr>
        <w:t>denominazione struttura ospitante</w:t>
      </w:r>
      <w:r>
        <w:rPr>
          <w:rFonts w:cs="Times New Roman"/>
        </w:rPr>
        <w:t xml:space="preserve">], qui di seguito indicata/o anche come il “soggetto ospitante”, si impegna ad accogliere a titolo gratuito presso le sue strutture il/i seguente/i studente/i nei percorsi per le competenze trasversali e per l’orientamento (di seguito indicati PCTO) su proposta dell’Istituto Statale di Istruzione Superiore “Buonarroti – Fossombroni”, di seguito indicata/o anche come “Istituzione Scolastica”.  </w:t>
      </w:r>
    </w:p>
    <w:tbl>
      <w:tblPr>
        <w:tblW w:w="9611" w:type="dxa"/>
        <w:jc w:val="center"/>
        <w:tblInd w:w="0" w:type="dxa"/>
        <w:tblLayout w:type="fixed"/>
        <w:tblCellMar>
          <w:top w:w="0" w:type="dxa"/>
          <w:left w:w="70" w:type="dxa"/>
          <w:bottom w:w="0" w:type="dxa"/>
          <w:right w:w="70" w:type="dxa"/>
        </w:tblCellMar>
        <w:tblLook w:firstRow="0" w:noVBand="0" w:lastRow="0" w:firstColumn="0" w:lastColumn="0" w:noHBand="0" w:val="0000"/>
      </w:tblPr>
      <w:tblGrid>
        <w:gridCol w:w="4001"/>
        <w:gridCol w:w="159"/>
        <w:gridCol w:w="1684"/>
        <w:gridCol w:w="3766"/>
      </w:tblGrid>
      <w:tr>
        <w:trPr/>
        <w:tc>
          <w:tcPr>
            <w:tcW w:w="40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73"/>
              <w:jc w:val="center"/>
              <w:rPr>
                <w:rFonts w:cs="Times New Roman"/>
                <w:b/>
                <w:bCs/>
                <w:sz w:val="20"/>
              </w:rPr>
            </w:pPr>
            <w:r>
              <w:rPr>
                <w:rFonts w:cs="Times New Roman"/>
                <w:b/>
                <w:bCs/>
                <w:sz w:val="20"/>
              </w:rPr>
              <w:t>Nome e Cognome</w:t>
            </w:r>
          </w:p>
        </w:tc>
        <w:tc>
          <w:tcPr>
            <w:tcW w:w="1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9"/>
              <w:jc w:val="center"/>
              <w:rPr>
                <w:rFonts w:cs="Times New Roman"/>
                <w:b/>
                <w:bCs/>
                <w:sz w:val="20"/>
              </w:rPr>
            </w:pPr>
            <w:r>
              <w:rPr>
                <w:rFonts w:cs="Times New Roman"/>
                <w:b/>
                <w:bCs/>
                <w:sz w:val="20"/>
              </w:rPr>
              <w:t>c</w:t>
            </w:r>
          </w:p>
        </w:tc>
        <w:tc>
          <w:tcPr>
            <w:tcW w:w="1684" w:type="dxa"/>
            <w:tcBorders>
              <w:top w:val="single" w:sz="4" w:space="0" w:color="000000"/>
              <w:left w:val="single" w:sz="4" w:space="0" w:color="000000"/>
              <w:bottom w:val="single" w:sz="4" w:space="0" w:color="000000"/>
              <w:right w:val="single" w:sz="4" w:space="0" w:color="000000"/>
            </w:tcBorders>
            <w:vAlign w:val="center"/>
          </w:tcPr>
          <w:p>
            <w:pPr>
              <w:pStyle w:val="Normal"/>
              <w:ind w:left="-45" w:right="-39"/>
              <w:jc w:val="center"/>
              <w:rPr>
                <w:rFonts w:cs="Times New Roman"/>
                <w:b/>
                <w:bCs/>
                <w:sz w:val="20"/>
              </w:rPr>
            </w:pPr>
            <w:r>
              <w:rPr>
                <w:rFonts w:cs="Times New Roman"/>
                <w:b/>
                <w:bCs/>
                <w:sz w:val="20"/>
              </w:rPr>
              <w:t>data di nascita</w:t>
            </w:r>
          </w:p>
        </w:tc>
        <w:tc>
          <w:tcPr>
            <w:tcW w:w="37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jc w:val="center"/>
              <w:rPr>
                <w:rFonts w:cs="Times New Roman"/>
                <w:b/>
                <w:bCs/>
                <w:sz w:val="20"/>
              </w:rPr>
            </w:pPr>
            <w:r>
              <w:rPr>
                <w:rFonts w:cs="Times New Roman"/>
                <w:b/>
                <w:bCs/>
                <w:sz w:val="20"/>
              </w:rPr>
              <w:t>Residenza</w:t>
            </w:r>
          </w:p>
        </w:tc>
      </w:tr>
      <w:tr>
        <w:trPr>
          <w:trHeight w:val="173" w:hRule="atLeast"/>
        </w:trPr>
        <w:tc>
          <w:tcPr>
            <w:tcW w:w="40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73"/>
              <w:jc w:val="center"/>
              <w:rPr>
                <w:rFonts w:cs="Times New Roman"/>
                <w:b/>
                <w:bCs/>
              </w:rPr>
            </w:pPr>
            <w:r>
              <w:rPr>
                <w:rFonts w:cs="Times New Roman"/>
                <w:b/>
                <w:bCs/>
              </w:rPr>
            </w:r>
          </w:p>
        </w:tc>
        <w:tc>
          <w:tcPr>
            <w:tcW w:w="1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9"/>
              <w:jc w:val="center"/>
              <w:rPr>
                <w:rFonts w:cs="Times New Roman"/>
                <w:b/>
                <w:bCs/>
              </w:rPr>
            </w:pPr>
            <w:r>
              <w:rPr>
                <w:rFonts w:cs="Times New Roman"/>
                <w:b/>
                <w:bCs/>
              </w:rPr>
            </w:r>
          </w:p>
        </w:tc>
        <w:tc>
          <w:tcPr>
            <w:tcW w:w="1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1315"/>
              <w:jc w:val="center"/>
              <w:rPr>
                <w:rFonts w:cs="Times New Roman"/>
                <w:b/>
                <w:bCs/>
              </w:rPr>
            </w:pPr>
            <w:r>
              <w:rPr>
                <w:rFonts w:cs="Times New Roman"/>
                <w:b/>
                <w:bCs/>
              </w:rPr>
            </w:r>
          </w:p>
        </w:tc>
        <w:tc>
          <w:tcPr>
            <w:tcW w:w="37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jc w:val="center"/>
              <w:rPr>
                <w:rFonts w:cs="Times New Roman"/>
                <w:b/>
                <w:bCs/>
              </w:rPr>
            </w:pPr>
            <w:r>
              <w:rPr>
                <w:rFonts w:cs="Times New Roman"/>
                <w:b/>
                <w:bCs/>
              </w:rPr>
            </w:r>
          </w:p>
        </w:tc>
      </w:tr>
      <w:tr>
        <w:trPr/>
        <w:tc>
          <w:tcPr>
            <w:tcW w:w="40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73"/>
              <w:jc w:val="center"/>
              <w:rPr>
                <w:rFonts w:cs="Times New Roman"/>
                <w:b/>
                <w:bCs/>
                <w:sz w:val="20"/>
              </w:rPr>
            </w:pPr>
            <w:r>
              <w:rPr>
                <w:rFonts w:cs="Times New Roman"/>
                <w:b/>
                <w:bCs/>
                <w:sz w:val="20"/>
              </w:rPr>
            </w:r>
          </w:p>
        </w:tc>
        <w:tc>
          <w:tcPr>
            <w:tcW w:w="1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9"/>
              <w:jc w:val="center"/>
              <w:rPr>
                <w:rFonts w:cs="Times New Roman"/>
                <w:b/>
                <w:bCs/>
                <w:sz w:val="20"/>
              </w:rPr>
            </w:pPr>
            <w:r>
              <w:rPr>
                <w:rFonts w:cs="Times New Roman"/>
                <w:b/>
                <w:bCs/>
                <w:sz w:val="20"/>
              </w:rPr>
            </w:r>
          </w:p>
        </w:tc>
        <w:tc>
          <w:tcPr>
            <w:tcW w:w="1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right="-1315"/>
              <w:jc w:val="center"/>
              <w:rPr>
                <w:rFonts w:cs="Times New Roman"/>
                <w:b/>
                <w:bCs/>
                <w:sz w:val="20"/>
              </w:rPr>
            </w:pPr>
            <w:r>
              <w:rPr>
                <w:rFonts w:cs="Times New Roman"/>
                <w:b/>
                <w:bCs/>
                <w:sz w:val="20"/>
              </w:rPr>
            </w:r>
          </w:p>
        </w:tc>
        <w:tc>
          <w:tcPr>
            <w:tcW w:w="376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360"/>
              <w:ind w:left="-1701"/>
              <w:jc w:val="center"/>
              <w:rPr>
                <w:rFonts w:cs="Times New Roman"/>
                <w:b/>
                <w:bCs/>
                <w:sz w:val="20"/>
              </w:rPr>
            </w:pPr>
            <w:r>
              <w:rPr>
                <w:rFonts w:cs="Times New Roman"/>
                <w:b/>
                <w:bCs/>
                <w:sz w:val="20"/>
              </w:rPr>
            </w:r>
          </w:p>
        </w:tc>
      </w:tr>
    </w:tbl>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rPr>
      </w:pPr>
      <w:r>
        <w:rPr>
          <w:rFonts w:cs="Times New Roman"/>
        </w:rPr>
        <w:t>Il periodo e l’orario di svolgimento del tirocinio saranno i seguenti:</w:t>
      </w:r>
    </w:p>
    <w:p>
      <w:pPr>
        <w:pStyle w:val="Normal"/>
        <w:spacing w:lineRule="auto" w:line="360"/>
        <w:ind w:left="-1701" w:right="-1792"/>
        <w:jc w:val="both"/>
        <w:rPr>
          <w:rFonts w:cs="Times New Roman"/>
        </w:rPr>
      </w:pPr>
      <w:r>
        <w:rPr>
          <w:rFonts w:cs="Times New Roman"/>
        </w:rPr>
        <w:t>Dal giorno ………….. al giorno ………….. con orario ……………………..                 .</w:t>
      </w:r>
    </w:p>
    <w:p>
      <w:pPr>
        <w:pStyle w:val="Normal"/>
        <w:spacing w:lineRule="auto" w:line="360"/>
        <w:ind w:left="-1701" w:right="-1792"/>
        <w:jc w:val="center"/>
        <w:rPr>
          <w:rFonts w:cs="Times New Roman"/>
          <w:b/>
        </w:rPr>
      </w:pPr>
      <w:r>
        <w:rPr>
          <w:rFonts w:cs="Times New Roman"/>
          <w:b/>
        </w:rPr>
        <w:t>Art. 2</w:t>
      </w:r>
    </w:p>
    <w:p>
      <w:pPr>
        <w:pStyle w:val="Normal"/>
        <w:spacing w:lineRule="auto" w:line="360"/>
        <w:ind w:left="-1701" w:right="-1792"/>
        <w:jc w:val="both"/>
        <w:rPr>
          <w:rFonts w:cs="Times New Roman"/>
        </w:rPr>
      </w:pPr>
      <w:r>
        <w:rPr>
          <w:rFonts w:cs="Times New Roman"/>
          <w:b/>
        </w:rPr>
        <w:t>1</w:t>
      </w:r>
      <w:r>
        <w:rPr>
          <w:rFonts w:cs="Times New Roman"/>
        </w:rPr>
        <w:t xml:space="preserve">. L’accoglimento dello/degli studente/i per i periodi di apprendimento in ambiente lavorativo non costituisce rapporto di lavoro. </w:t>
      </w:r>
    </w:p>
    <w:p>
      <w:pPr>
        <w:pStyle w:val="Normal"/>
        <w:spacing w:lineRule="auto" w:line="360"/>
        <w:ind w:left="-1701" w:right="-1792"/>
        <w:jc w:val="both"/>
        <w:rPr>
          <w:rFonts w:cs="Times New Roman"/>
        </w:rPr>
      </w:pPr>
      <w:r>
        <w:rPr>
          <w:rFonts w:cs="Times New Roman"/>
          <w:b/>
        </w:rPr>
        <w:t>2</w:t>
      </w:r>
      <w:r>
        <w:rPr>
          <w:rFonts w:cs="Times New Roman"/>
        </w:rPr>
        <w:t xml:space="preserve">. Ai fini e agli effetti delle disposizioni di cui al d.lgs. 81/2008, lo studente nelle attività del PCTO è equiparato al lavoratore, ex art. 2, comma 1 lettera a) del decreto citato. </w:t>
      </w:r>
    </w:p>
    <w:p>
      <w:pPr>
        <w:pStyle w:val="Normal"/>
        <w:spacing w:lineRule="auto" w:line="360"/>
        <w:ind w:left="-1701" w:right="-1792"/>
        <w:jc w:val="both"/>
        <w:rPr>
          <w:rFonts w:cs="Times New Roman"/>
        </w:rPr>
      </w:pPr>
      <w:r>
        <w:rPr>
          <w:rFonts w:cs="Times New Roman"/>
          <w:b/>
        </w:rPr>
        <w:t>3</w:t>
      </w:r>
      <w:r>
        <w:rPr>
          <w:rFonts w:cs="Times New Roman"/>
        </w:rPr>
        <w:t xml:space="preserve">. L’attività di formazione ed orientamento del PCTO è congiuntamente progettata e verificata da un docente tutor interno, designato dall’istituzione scolastica, e da un tutor formativo della struttura, indicato dal soggetto ospitante, denominato tutor formativo esterno. </w:t>
      </w:r>
    </w:p>
    <w:p>
      <w:pPr>
        <w:pStyle w:val="Normal"/>
        <w:spacing w:lineRule="auto" w:line="360"/>
        <w:ind w:left="-1701" w:right="-1792"/>
        <w:jc w:val="both"/>
        <w:rPr>
          <w:rFonts w:cs="Times New Roman"/>
        </w:rPr>
      </w:pPr>
      <w:r>
        <w:rPr>
          <w:rFonts w:cs="Times New Roman"/>
          <w:b/>
        </w:rPr>
        <w:t>4</w:t>
      </w:r>
      <w:r>
        <w:rPr>
          <w:rFonts w:cs="Times New Roman"/>
        </w:rPr>
        <w:t xml:space="preserve">. Per ciascun allievo inserito nella struttura ospitante in base alla presente Convenzione è predisposto un percorso formativo personalizzato, che fa parte integrante della presente Convenzione, coerente con il profilo educativo, culturale e professionale dell’indirizzo di studi. </w:t>
      </w:r>
    </w:p>
    <w:p>
      <w:pPr>
        <w:pStyle w:val="Normal"/>
        <w:spacing w:lineRule="auto" w:line="360"/>
        <w:ind w:left="-1701" w:right="-1792"/>
        <w:jc w:val="both"/>
        <w:rPr>
          <w:rFonts w:cs="Times New Roman"/>
        </w:rPr>
      </w:pPr>
      <w:r>
        <w:rPr>
          <w:rFonts w:cs="Times New Roman"/>
          <w:b/>
        </w:rPr>
        <w:t>5</w:t>
      </w:r>
      <w:r>
        <w:rPr>
          <w:rFonts w:cs="Times New Roman"/>
        </w:rPr>
        <w:t xml:space="preserve">. La titolarità del percorso, della progettazione formativa e della certificazione delle competenze acquisite è dell’istituzione scolastica. </w:t>
      </w:r>
    </w:p>
    <w:p>
      <w:pPr>
        <w:pStyle w:val="Normal"/>
        <w:spacing w:lineRule="auto" w:line="360"/>
        <w:ind w:left="-1701" w:right="-1792"/>
        <w:jc w:val="both"/>
        <w:rPr>
          <w:rFonts w:cs="Times New Roman"/>
        </w:rPr>
      </w:pPr>
      <w:r>
        <w:rPr>
          <w:rFonts w:cs="Times New Roman"/>
          <w:b/>
        </w:rPr>
        <w:t>6</w:t>
      </w:r>
      <w:r>
        <w:rPr>
          <w:rFonts w:cs="Times New Roman"/>
        </w:rPr>
        <w:t xml:space="preserve">. L’accoglimento dello/degli studente/i minorenni per i periodi di apprendimento in contesto lavorativo non fa acquisire agli stessi la qualifica di “lavoratore minore” di cui alla L. 977/67 e successive modifiche. </w:t>
      </w:r>
    </w:p>
    <w:p>
      <w:pPr>
        <w:pStyle w:val="Normal"/>
        <w:spacing w:lineRule="auto" w:line="360"/>
        <w:ind w:left="-1701" w:right="-1792"/>
        <w:jc w:val="both"/>
        <w:rPr>
          <w:rFonts w:cs="Times New Roman"/>
        </w:rPr>
      </w:pPr>
      <w:r>
        <w:rPr>
          <w:rFonts w:cs="Times New Roman"/>
        </w:rPr>
        <w:t xml:space="preserve"> </w:t>
      </w:r>
    </w:p>
    <w:p>
      <w:pPr>
        <w:pStyle w:val="Normal"/>
        <w:spacing w:lineRule="auto" w:line="360"/>
        <w:ind w:left="-1701" w:right="-1792"/>
        <w:jc w:val="center"/>
        <w:rPr>
          <w:rFonts w:cs="Times New Roman"/>
          <w:b/>
        </w:rPr>
      </w:pPr>
      <w:r>
        <w:rPr>
          <w:rFonts w:cs="Times New Roman"/>
          <w:b/>
        </w:rPr>
        <w:t>Art. 3</w:t>
      </w:r>
    </w:p>
    <w:p>
      <w:pPr>
        <w:pStyle w:val="Normal"/>
        <w:spacing w:lineRule="auto" w:line="360"/>
        <w:ind w:left="-1701" w:right="-1792"/>
        <w:jc w:val="both"/>
        <w:rPr>
          <w:rFonts w:cs="Times New Roman"/>
        </w:rPr>
      </w:pPr>
      <w:r>
        <w:rPr>
          <w:rFonts w:cs="Times New Roman"/>
          <w:b/>
        </w:rPr>
        <w:t>1</w:t>
      </w:r>
      <w:r>
        <w:rPr>
          <w:rFonts w:cs="Times New Roman"/>
        </w:rPr>
        <w:t xml:space="preserve">. </w:t>
      </w:r>
      <w:r>
        <w:rPr>
          <w:rFonts w:cs="Times New Roman"/>
          <w:b/>
        </w:rPr>
        <w:t>Il docente tutor interno</w:t>
      </w:r>
      <w:r>
        <w:rPr>
          <w:rFonts w:cs="Times New Roman"/>
        </w:rPr>
        <w:t xml:space="preserve"> svolge le seguenti funzioni: a) elabora, insieme al tutor esterno, il percorso formativo personalizzato  sottoscritto dalle parti coinvolte (scuola, struttura ospitante, studente/soggetti esercenti la potestà genitoriale); b) assiste e guida lo studente nei PCTO e ne verifica, in collaborazione con il tutor esterno, il corretto svolgimento; c) gestisce le relazioni con il contesto in cui si sviluppa l’esperienza di PCTO,  rapportandosi con il tutor esterno; d) monitora le attività e affronta le eventuali criticità che dovessero emergere dalle stesse; e) valuta, comunica e valorizza gli obiettivi raggiunti e le competenze progressivamente sviluppate dallo studente; f) promuove l’attività di valutazione sull’efficacia e la coerenza del PCTO, da parte dello studente coinvolto; g) informa gli organi scolastici preposti (Dirigente Scolastico, Dipartimenti, Collegio dei docenti, Comitato Tecnico Scientifico/Comitato Scientifico) ed aggiorna il Consiglio di classe sullo svolgimento dei percorsi, anche ai fini dell’eventuale riallineamento della classe; h) assiste il Dirigente Scolastico nella redazione della scheda di valutazione sulle strutture con le quali sono state stipulate le convenzioni per i PCTO, evidenziandone il potenziale formativo e le eventuali difficoltà incontrate nella collaborazione; i) </w:t>
      </w:r>
      <w:r>
        <w:rPr/>
        <w:t>garantisce l’informazione/formazione dello/i studente/i sui rischi specifici aziendali, nel rispetto delle procedure interne con particolare riferimento alle misure di prevenzione del rischio di contagio dal virus in atto nell’azienda</w:t>
      </w:r>
      <w:r>
        <w:rPr>
          <w:rFonts w:cs="Times New Roman"/>
        </w:rPr>
        <w:t xml:space="preserve">. </w:t>
      </w:r>
    </w:p>
    <w:p>
      <w:pPr>
        <w:pStyle w:val="Normal"/>
        <w:spacing w:lineRule="auto" w:line="360"/>
        <w:ind w:left="-1701" w:right="-1792"/>
        <w:jc w:val="both"/>
        <w:rPr>
          <w:rFonts w:cs="Times New Roman"/>
        </w:rPr>
      </w:pPr>
      <w:r>
        <w:rPr>
          <w:rFonts w:cs="Times New Roman"/>
        </w:rPr>
        <w:t xml:space="preserve"> </w:t>
      </w:r>
      <w:r>
        <w:rPr>
          <w:rFonts w:cs="Times New Roman"/>
          <w:b/>
        </w:rPr>
        <w:t>2</w:t>
      </w:r>
      <w:r>
        <w:rPr>
          <w:rFonts w:cs="Times New Roman"/>
        </w:rPr>
        <w:t xml:space="preserve">. </w:t>
      </w:r>
      <w:r>
        <w:rPr>
          <w:rFonts w:cs="Times New Roman"/>
          <w:b/>
        </w:rPr>
        <w:t>Il tutor formativo esterno</w:t>
      </w:r>
      <w:r>
        <w:rPr>
          <w:rFonts w:cs="Times New Roman"/>
        </w:rPr>
        <w:t xml:space="preserve"> svolge le seguenti funzioni: a) collabora con il tutor interno alla progettazione, organizzazione e valutazione dell’esperienza di PCTO; b) favorisce l’inserimento dello studente nel contesto operativo, lo affianca e lo assiste nel PCTO; c) garantisce l’informazione/formazione dello/i studente/i sui rischi specifici aziendali, nel rispetto delle procedure interne; d) pianifica ed organizza le attività in base al progetto formativo, coordinandosi anche con altre figure professionali presenti nella struttura ospitante; e) coinvolge lo studente nel processo di valutazione dell’esperienza di PCTO; f) fornisce all’istituzione scolastica gli elementi concordati per valutare le attività dello studente e l’efficacia del processo formativo. </w:t>
      </w:r>
    </w:p>
    <w:p>
      <w:pPr>
        <w:pStyle w:val="Normal"/>
        <w:spacing w:lineRule="auto" w:line="360"/>
        <w:ind w:left="-1701" w:right="-1792"/>
        <w:jc w:val="both"/>
        <w:rPr>
          <w:rFonts w:cs="Times New Roman"/>
        </w:rPr>
      </w:pPr>
      <w:r>
        <w:rPr>
          <w:rFonts w:cs="Times New Roman"/>
        </w:rPr>
        <w:t xml:space="preserve"> </w:t>
      </w:r>
      <w:r>
        <w:rPr>
          <w:rFonts w:cs="Times New Roman"/>
          <w:b/>
        </w:rPr>
        <w:t>3</w:t>
      </w:r>
      <w:r>
        <w:rPr>
          <w:rFonts w:cs="Times New Roman"/>
        </w:rPr>
        <w:t xml:space="preserve">. Le due figure dei tutor condividono i seguenti compiti: a) predisposizione del percorso formativo personalizzato, anche con riguardo alla disciplina della sicurezza e salute nei luoghi di lavoro. In particolare, il docente tutor interno dovrà collaborare col tutor formativo esterno al fine dell’individuazione delle attività richieste dal progetto formativo e delle misure di prevenzione necessarie alla tutela dello studente; b) controllo della frequenza e dell’attuazione del percorso formativo personalizzato; c) raccordo tra le esperienze formative in aula e quella in contesto lavorativo; d) elaborazione di un report sull’esperienza svolta e sulle acquisizioni di ciascun allievo, che concorre alla valutazione e alla certificazione delle competenze da parte del Consiglio di classe; e) verifica del rispetto da parte dello studente degli obblighi propri di ciascun lavoratore di cui all’art. 20 D. Lgs. 81/2008. In particolare la violazione da parte dello studente degli obblighi richiamati dalla norma citata e dal percorso formativo saranno segnalati dal tutor formativo esterno al docente tutor interno affinché quest’ultimo possa attivare le azioni necessarie. </w:t>
      </w:r>
    </w:p>
    <w:p>
      <w:pPr>
        <w:pStyle w:val="Normal"/>
        <w:spacing w:lineRule="auto" w:line="360"/>
        <w:ind w:right="-1792"/>
        <w:jc w:val="both"/>
        <w:rPr>
          <w:rFonts w:cs="Times New Roman"/>
        </w:rPr>
      </w:pPr>
      <w:r>
        <w:rPr>
          <w:rFonts w:cs="Times New Roman"/>
        </w:rPr>
        <w:t xml:space="preserve"> </w:t>
      </w:r>
    </w:p>
    <w:p>
      <w:pPr>
        <w:pStyle w:val="Normal"/>
        <w:spacing w:lineRule="auto" w:line="360"/>
        <w:ind w:left="-1701" w:right="-1792"/>
        <w:jc w:val="center"/>
        <w:rPr>
          <w:rFonts w:cs="Times New Roman"/>
          <w:b/>
        </w:rPr>
      </w:pPr>
      <w:r>
        <w:rPr>
          <w:rFonts w:cs="Times New Roman"/>
          <w:b/>
        </w:rPr>
        <w:t>Art. 4</w:t>
      </w:r>
    </w:p>
    <w:p>
      <w:pPr>
        <w:pStyle w:val="Normal"/>
        <w:spacing w:lineRule="auto" w:line="360"/>
        <w:ind w:left="-1701" w:right="-1792"/>
        <w:jc w:val="both"/>
        <w:rPr>
          <w:rFonts w:cs="Times New Roman"/>
        </w:rPr>
      </w:pPr>
      <w:r>
        <w:rPr>
          <w:rFonts w:cs="Times New Roman"/>
        </w:rPr>
        <w:t xml:space="preserve">Durante lo svolgimento del percorso il/i beneficiario/i del percorso/i per le competenze trasversali e per l’orientamento è tenuto/sono tenuti a: </w:t>
      </w:r>
    </w:p>
    <w:p>
      <w:pPr>
        <w:pStyle w:val="ListParagraph"/>
        <w:numPr>
          <w:ilvl w:val="0"/>
          <w:numId w:val="2"/>
        </w:numPr>
        <w:spacing w:lineRule="auto" w:line="360"/>
        <w:ind w:hanging="360" w:left="-981" w:right="-1792"/>
        <w:jc w:val="both"/>
        <w:rPr>
          <w:rFonts w:cs="Times New Roman"/>
        </w:rPr>
      </w:pPr>
      <w:r>
        <w:rPr>
          <w:rFonts w:cs="Times New Roman"/>
        </w:rPr>
        <w:t xml:space="preserve">svolgere le attività previste dal percorso formativo personalizzato; </w:t>
      </w:r>
    </w:p>
    <w:p>
      <w:pPr>
        <w:pStyle w:val="ListParagraph"/>
        <w:numPr>
          <w:ilvl w:val="0"/>
          <w:numId w:val="2"/>
        </w:numPr>
        <w:spacing w:lineRule="auto" w:line="360"/>
        <w:ind w:hanging="360" w:left="-981" w:right="-1792"/>
        <w:jc w:val="both"/>
        <w:rPr>
          <w:rFonts w:cs="Times New Roman"/>
        </w:rPr>
      </w:pPr>
      <w:r>
        <w:rPr>
          <w:rFonts w:cs="Times New Roman"/>
        </w:rPr>
        <w:t xml:space="preserve">rispettare le norme in materia di igiene, sicurezza e salute sui luoghi di lavoro, nonché tutte le disposizioni, istruzioni, prescrizioni, regolamenti interni, previsti a tale scopo; </w:t>
      </w:r>
    </w:p>
    <w:p>
      <w:pPr>
        <w:pStyle w:val="ListParagraph"/>
        <w:numPr>
          <w:ilvl w:val="0"/>
          <w:numId w:val="2"/>
        </w:numPr>
        <w:spacing w:lineRule="auto" w:line="360"/>
        <w:ind w:hanging="360" w:left="-981" w:right="-1792"/>
        <w:jc w:val="both"/>
        <w:rPr>
          <w:rFonts w:cs="Times New Roman"/>
        </w:rPr>
      </w:pPr>
      <w:r>
        <w:rPr>
          <w:rFonts w:cs="Times New Roman"/>
        </w:rPr>
        <w:t xml:space="preserve"> </w:t>
      </w:r>
      <w:r>
        <w:rPr>
          <w:rFonts w:cs="Times New Roman"/>
        </w:rPr>
        <w:t xml:space="preserve">mantenere la necessaria riservatezza per quanto attiene ai dati, informazioni o conoscenze in merito a processi produttivi e prodotti, acquisiti durante lo svolgimento dell’attività formativa in contesto lavorativo; </w:t>
      </w:r>
    </w:p>
    <w:p>
      <w:pPr>
        <w:pStyle w:val="ListParagraph"/>
        <w:numPr>
          <w:ilvl w:val="0"/>
          <w:numId w:val="2"/>
        </w:numPr>
        <w:spacing w:lineRule="auto" w:line="360"/>
        <w:ind w:hanging="360" w:left="-981" w:right="-1792"/>
        <w:jc w:val="both"/>
        <w:rPr>
          <w:rFonts w:cs="Times New Roman"/>
        </w:rPr>
      </w:pPr>
      <w:r>
        <w:rPr>
          <w:rFonts w:cs="Times New Roman"/>
        </w:rPr>
        <w:t xml:space="preserve">seguire le indicazioni dei tutor e fare riferimento ad essi per qualsiasi esigenza di tipo organizzativo o altre evenienze; e) rispettare gli obblighi di cui al d.lgs. 81/2008, art. 20. </w:t>
      </w:r>
    </w:p>
    <w:p>
      <w:pPr>
        <w:pStyle w:val="Normal"/>
        <w:spacing w:lineRule="auto" w:line="360"/>
        <w:ind w:left="-1701" w:right="-1792"/>
        <w:jc w:val="both"/>
        <w:rPr>
          <w:rFonts w:cs="Times New Roman"/>
        </w:rPr>
      </w:pPr>
      <w:r>
        <w:rPr>
          <w:rFonts w:cs="Times New Roman"/>
        </w:rPr>
        <w:t xml:space="preserve"> </w:t>
      </w:r>
    </w:p>
    <w:p>
      <w:pPr>
        <w:pStyle w:val="Normal"/>
        <w:spacing w:lineRule="auto" w:line="360"/>
        <w:ind w:left="-1701" w:right="-1792"/>
        <w:jc w:val="center"/>
        <w:rPr>
          <w:rFonts w:cs="Times New Roman"/>
          <w:b/>
        </w:rPr>
      </w:pPr>
      <w:r>
        <w:rPr>
          <w:rFonts w:cs="Times New Roman"/>
          <w:b/>
        </w:rPr>
        <w:t>Art. 5</w:t>
      </w:r>
    </w:p>
    <w:p>
      <w:pPr>
        <w:pStyle w:val="Normal"/>
        <w:spacing w:lineRule="auto" w:line="360"/>
        <w:ind w:left="-1701" w:right="-1792"/>
        <w:jc w:val="both"/>
        <w:rPr>
          <w:rFonts w:cs="Times New Roman"/>
        </w:rPr>
      </w:pPr>
      <w:r>
        <w:rPr>
          <w:rFonts w:cs="Times New Roman"/>
          <w:b/>
        </w:rPr>
        <w:t>1</w:t>
      </w:r>
      <w:r>
        <w:rPr>
          <w:rFonts w:cs="Times New Roman"/>
        </w:rPr>
        <w:t xml:space="preserve">. L’istituzione scolastica assicura il/i beneficiario/i del PCTO contro gli infortuni sul lavoro presso l’INAIL, nonché per la responsabilità civile presso compagnie assicurative operanti nel settore. In caso di incidente durante lo svolgimento del percorso, il soggetto ospitante si impegna a segnalare l’evento alla scuola entro i tempi previsti dalla normativa vigente, affinché la stessa possa tempestivamente fare denuncia agli istituti assicurativi. </w:t>
      </w:r>
    </w:p>
    <w:p>
      <w:pPr>
        <w:pStyle w:val="Normal"/>
        <w:spacing w:lineRule="auto" w:line="360"/>
        <w:ind w:left="-1701" w:right="-1792"/>
        <w:jc w:val="both"/>
        <w:rPr>
          <w:rFonts w:cs="Times New Roman"/>
        </w:rPr>
      </w:pPr>
      <w:r>
        <w:rPr>
          <w:rFonts w:cs="Times New Roman"/>
          <w:b/>
        </w:rPr>
        <w:t>2</w:t>
      </w:r>
      <w:r>
        <w:rPr>
          <w:rFonts w:cs="Times New Roman"/>
        </w:rPr>
        <w:t xml:space="preserve">. Ai fini </w:t>
      </w:r>
      <w:r>
        <w:rPr/>
        <w:t>dell’applicazione dell’articolo 18 del d.lgs. 81/2008 il soggetto promotore si fa carico dei seguenti obblighi: tener conto delle capacità e delle condizioni della struttura ospitante, in rapporto alla salute e</w:t>
      </w:r>
      <w:r>
        <w:rPr>
          <w:rFonts w:cs="Times New Roman"/>
        </w:rPr>
        <w:t xml:space="preserve"> sicurezza degli studenti impegnati nelle attività di PCTO;</w:t>
      </w:r>
    </w:p>
    <w:p>
      <w:pPr>
        <w:pStyle w:val="ListParagraph"/>
        <w:numPr>
          <w:ilvl w:val="0"/>
          <w:numId w:val="3"/>
        </w:numPr>
        <w:spacing w:lineRule="auto" w:line="360"/>
        <w:ind w:hanging="360" w:left="-981" w:right="-1792"/>
        <w:jc w:val="both"/>
        <w:rPr>
          <w:szCs w:val="24"/>
        </w:rPr>
      </w:pPr>
      <w:r>
        <w:rPr>
          <w:rFonts w:cs="Times New Roman"/>
        </w:rPr>
        <w:t>informare/formare lo studente in materia di norme relative a igiene, sicurezza e salute sui luoghi di lavoro, con particolare riguardo agli obblighi dello studente ex art. 20 d.lgs. 81/2008;</w:t>
      </w:r>
    </w:p>
    <w:p>
      <w:pPr>
        <w:pStyle w:val="ListParagraph"/>
        <w:numPr>
          <w:ilvl w:val="0"/>
          <w:numId w:val="3"/>
        </w:numPr>
        <w:spacing w:lineRule="auto" w:line="360"/>
        <w:ind w:hanging="360" w:left="-981" w:right="-1792"/>
        <w:jc w:val="both"/>
        <w:rPr>
          <w:szCs w:val="24"/>
        </w:rPr>
      </w:pPr>
      <w:r>
        <w:rPr>
          <w:rFonts w:cs="Times New Roman"/>
        </w:rPr>
        <w:t>designare un tutor interno che sia competente e adeguatamente formato in materia di sicurezza e salute nei luoghi di lavoro o che si avvalga di professionalità adeguate in materia (es. RSPP);</w:t>
      </w:r>
    </w:p>
    <w:p>
      <w:pPr>
        <w:pStyle w:val="ListParagraph"/>
        <w:numPr>
          <w:ilvl w:val="0"/>
          <w:numId w:val="3"/>
        </w:numPr>
        <w:spacing w:lineRule="auto" w:line="360"/>
        <w:ind w:hanging="360" w:left="-981" w:right="-1792"/>
        <w:jc w:val="both"/>
        <w:rPr>
          <w:szCs w:val="24"/>
        </w:rPr>
      </w:pPr>
      <w:r>
        <w:rPr>
          <w:szCs w:val="24"/>
        </w:rPr>
        <w:t>informare/formare lo studente in materia di norme relative a igiene, sicurezza e salute sui luoghi di lavoro, con particolare riguardo agli obblighi dello studente ex art. 20 D. Lgs. 81/2008 e sulle misure di prevenzione del rischio di contagio da virus .</w:t>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rPr>
      </w:pPr>
      <w:r>
        <w:rPr>
          <w:rFonts w:cs="Times New Roman"/>
        </w:rPr>
        <w:t xml:space="preserve"> </w:t>
      </w:r>
      <w:r>
        <w:rPr>
          <w:rFonts w:cs="Times New Roman"/>
        </w:rPr>
        <w:t xml:space="preserve">.  </w:t>
      </w:r>
    </w:p>
    <w:p>
      <w:pPr>
        <w:pStyle w:val="Normal"/>
        <w:spacing w:lineRule="auto" w:line="360"/>
        <w:ind w:left="-1701" w:right="-1792"/>
        <w:jc w:val="both"/>
        <w:rPr>
          <w:rFonts w:cs="Times New Roman"/>
        </w:rPr>
      </w:pPr>
      <w:r>
        <w:rPr>
          <w:rFonts w:cs="Times New Roman"/>
        </w:rPr>
        <w:t xml:space="preserve"> </w:t>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center"/>
        <w:rPr>
          <w:rFonts w:cs="Times New Roman"/>
          <w:b/>
        </w:rPr>
      </w:pPr>
      <w:r>
        <w:rPr>
          <w:rFonts w:cs="Times New Roman"/>
          <w:b/>
        </w:rPr>
        <w:t>Art. 6</w:t>
      </w:r>
    </w:p>
    <w:p>
      <w:pPr>
        <w:pStyle w:val="Normal"/>
        <w:spacing w:lineRule="auto" w:line="360"/>
        <w:ind w:left="-1701" w:right="-1792"/>
        <w:jc w:val="both"/>
        <w:rPr>
          <w:rFonts w:cs="Times New Roman"/>
        </w:rPr>
      </w:pPr>
      <w:r>
        <w:rPr>
          <w:rFonts w:cs="Times New Roman"/>
        </w:rPr>
        <w:t xml:space="preserve">Il soggetto ospitante si impegna a: </w:t>
      </w:r>
    </w:p>
    <w:p>
      <w:pPr>
        <w:pStyle w:val="ListParagraph"/>
        <w:numPr>
          <w:ilvl w:val="0"/>
          <w:numId w:val="1"/>
        </w:numPr>
        <w:spacing w:lineRule="auto" w:line="360"/>
        <w:ind w:hanging="360" w:left="-981" w:right="-1792"/>
        <w:jc w:val="both"/>
        <w:rPr>
          <w:rFonts w:cs="Times New Roman"/>
        </w:rPr>
      </w:pPr>
      <w:r>
        <w:rPr>
          <w:rFonts w:cs="Times New Roman"/>
        </w:rPr>
        <w:t xml:space="preserve">garantire al beneficiario/ai beneficiari del percorso, per il tramite del  tutor della struttura ospitante, l’assistenza e la formazione necessarie al buon esito dell’attività di PCTO, nonché la dichiarazione delle competenze acquisite nel contesto di lavoro; </w:t>
      </w:r>
    </w:p>
    <w:p>
      <w:pPr>
        <w:pStyle w:val="ListParagraph"/>
        <w:numPr>
          <w:ilvl w:val="0"/>
          <w:numId w:val="1"/>
        </w:numPr>
        <w:spacing w:lineRule="auto" w:line="360"/>
        <w:ind w:hanging="360" w:left="-981" w:right="-1792"/>
        <w:jc w:val="both"/>
        <w:rPr>
          <w:rFonts w:cs="Times New Roman"/>
        </w:rPr>
      </w:pPr>
      <w:r>
        <w:rPr>
          <w:rFonts w:cs="Times New Roman"/>
        </w:rPr>
        <w:t xml:space="preserve">rispettare le norme antinfortunistiche e di igiene sul lavoro; </w:t>
      </w:r>
    </w:p>
    <w:p>
      <w:pPr>
        <w:pStyle w:val="ListParagraph"/>
        <w:numPr>
          <w:ilvl w:val="0"/>
          <w:numId w:val="1"/>
        </w:numPr>
        <w:spacing w:lineRule="auto" w:line="360"/>
        <w:ind w:hanging="360" w:left="-981" w:right="-1792"/>
        <w:jc w:val="both"/>
        <w:rPr>
          <w:rFonts w:cs="Times New Roman"/>
        </w:rPr>
      </w:pPr>
      <w:r>
        <w:rPr>
          <w:rFonts w:cs="Times New Roman"/>
        </w:rPr>
        <w:t>assegnare al beneficiario mansioni compatibili con la formazione generale ricevuta a scuola in relazione alla sicurezza negli ambienti di lavoro;</w:t>
      </w:r>
    </w:p>
    <w:p>
      <w:pPr>
        <w:pStyle w:val="ListParagraph"/>
        <w:numPr>
          <w:ilvl w:val="0"/>
          <w:numId w:val="1"/>
        </w:numPr>
        <w:spacing w:lineRule="auto" w:line="360"/>
        <w:ind w:hanging="360" w:left="-981" w:right="-1792"/>
        <w:jc w:val="both"/>
        <w:rPr>
          <w:rFonts w:cs="Times New Roman"/>
        </w:rPr>
      </w:pPr>
      <w:r>
        <w:rPr>
          <w:rFonts w:cs="Times New Roman"/>
        </w:rPr>
        <w:t xml:space="preserve">consentire al tutor del soggetto promotore di contattare il beneficiario/i beneficiari del percorso e il tutor della struttura ospitante per verificare l’andamento della formazione in contesto lavorativo, per coordinare l’intero percorso formativo e per la stesura della relazione finale; </w:t>
      </w:r>
    </w:p>
    <w:p>
      <w:pPr>
        <w:pStyle w:val="ListParagraph"/>
        <w:numPr>
          <w:ilvl w:val="0"/>
          <w:numId w:val="1"/>
        </w:numPr>
        <w:spacing w:lineRule="auto" w:line="360"/>
        <w:ind w:hanging="360" w:left="-981" w:right="-1792"/>
        <w:jc w:val="both"/>
        <w:rPr>
          <w:rFonts w:cs="Times New Roman"/>
        </w:rPr>
      </w:pPr>
      <w:r>
        <w:rPr>
          <w:rFonts w:cs="Times New Roman"/>
        </w:rPr>
        <w:t>informare il soggetto promotore di qualsiasi incidente accada al beneficiario/ai beneficiari;  individuare il tutor esterno in un soggetto che sia competente e adeguatamente formato in materia di sicurezza e salute nei luoghi di lavoro o che si avvalga di professionalità adeguate in materia (es. RSPP);</w:t>
      </w:r>
    </w:p>
    <w:p>
      <w:pPr>
        <w:pStyle w:val="ListParagraph"/>
        <w:numPr>
          <w:ilvl w:val="0"/>
          <w:numId w:val="1"/>
        </w:numPr>
        <w:spacing w:lineRule="auto" w:line="360"/>
        <w:ind w:hanging="360" w:left="-981" w:right="-1792"/>
        <w:jc w:val="both"/>
        <w:rPr/>
      </w:pPr>
      <w:r>
        <w:rPr/>
        <w:t>rispettare le norme antinfortunistiche e di igiene sul lavoro aggiornate alle misure di prevenzione del rischio di contagio dal virus , in ottemperanza alle disposizioni normative emanate a livello nazionale e regionale riguardanti il comparto di appartenenza.</w:t>
      </w:r>
    </w:p>
    <w:p>
      <w:pPr>
        <w:pStyle w:val="Normal"/>
        <w:spacing w:lineRule="auto" w:line="360"/>
        <w:ind w:left="-1701" w:right="-1792"/>
        <w:jc w:val="both"/>
        <w:rPr>
          <w:rFonts w:cs="Times New Roman"/>
        </w:rPr>
      </w:pPr>
      <w:r>
        <w:rPr>
          <w:rFonts w:cs="Times New Roman"/>
        </w:rPr>
        <w:t xml:space="preserve"> </w:t>
      </w:r>
    </w:p>
    <w:p>
      <w:pPr>
        <w:pStyle w:val="Normal"/>
        <w:spacing w:lineRule="auto" w:line="360"/>
        <w:ind w:left="-1701" w:right="-1792"/>
        <w:jc w:val="center"/>
        <w:rPr>
          <w:rFonts w:cs="Times New Roman"/>
          <w:b/>
        </w:rPr>
      </w:pPr>
      <w:r>
        <w:rPr>
          <w:rFonts w:cs="Times New Roman"/>
          <w:b/>
        </w:rPr>
        <w:t>Art. 7</w:t>
      </w:r>
    </w:p>
    <w:p>
      <w:pPr>
        <w:pStyle w:val="Normal"/>
        <w:spacing w:lineRule="auto" w:line="360"/>
        <w:ind w:left="-1701" w:right="-1792"/>
        <w:jc w:val="both"/>
        <w:rPr>
          <w:rFonts w:cs="Times New Roman"/>
        </w:rPr>
      </w:pPr>
      <w:r>
        <w:rPr>
          <w:rFonts w:cs="Times New Roman"/>
          <w:b/>
        </w:rPr>
        <w:t>1</w:t>
      </w:r>
      <w:r>
        <w:rPr>
          <w:rFonts w:cs="Times New Roman"/>
        </w:rPr>
        <w:t xml:space="preserve">. La presente convenzione decorre dalla data sotto indicata e dura fino all’espletamento dell’esperienza definita da ciascun percorso formativo personalizzato presso il soggetto ospitante. </w:t>
      </w:r>
    </w:p>
    <w:p>
      <w:pPr>
        <w:pStyle w:val="Normal"/>
        <w:spacing w:lineRule="auto" w:line="360"/>
        <w:ind w:left="-1701" w:right="-1792"/>
        <w:jc w:val="both"/>
        <w:rPr>
          <w:rFonts w:cs="Times New Roman"/>
        </w:rPr>
      </w:pPr>
      <w:r>
        <w:rPr>
          <w:rFonts w:cs="Times New Roman"/>
          <w:b/>
        </w:rPr>
        <w:t>2</w:t>
      </w:r>
      <w:r>
        <w:rPr>
          <w:rFonts w:cs="Times New Roman"/>
        </w:rPr>
        <w:t>. È in ogni caso riconosciuta facoltà al soggetto ospitante e al soggetto promotore di risolvere la presente convenzione in caso di violazione degli obblighi in materia di salute e sicurezza nei luoghi di lavoro o del piano formativo personalizzato</w:t>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rPr>
      </w:pPr>
      <w:r>
        <w:rPr>
          <w:rFonts w:cs="Times New Roman"/>
        </w:rPr>
      </w:r>
    </w:p>
    <w:p>
      <w:pPr>
        <w:pStyle w:val="Normal"/>
        <w:spacing w:lineRule="auto" w:line="360"/>
        <w:ind w:left="-1701" w:right="-1792"/>
        <w:jc w:val="both"/>
        <w:rPr>
          <w:rFonts w:cs="Times New Roman"/>
          <w:b/>
        </w:rPr>
      </w:pPr>
      <w:r>
        <w:rPr>
          <w:rFonts w:cs="Times New Roman"/>
          <w:b/>
        </w:rPr>
        <w:t xml:space="preserve">Firma del DIRIGENTE SCOLASTICO             </w:t>
        <w:tab/>
        <w:t xml:space="preserve">Firma del Legale Rappresentante del          </w:t>
      </w:r>
    </w:p>
    <w:p>
      <w:pPr>
        <w:pStyle w:val="Normal"/>
        <w:spacing w:lineRule="auto" w:line="360"/>
        <w:ind w:left="-1701" w:right="-1792"/>
        <w:jc w:val="both"/>
        <w:rPr>
          <w:rFonts w:cs="Times New Roman"/>
          <w:b/>
        </w:rPr>
      </w:pPr>
      <w:r>
        <w:rPr>
          <w:rFonts w:cs="Times New Roman"/>
          <w:b/>
        </w:rPr>
        <w:t xml:space="preserve">                                                                                               </w:t>
      </w:r>
      <w:r>
        <w:rPr>
          <w:rFonts w:cs="Times New Roman"/>
          <w:b/>
        </w:rPr>
        <w:t>SOGGETTO OSPITANTE</w:t>
      </w:r>
    </w:p>
    <w:p>
      <w:pPr>
        <w:pStyle w:val="Normal"/>
        <w:spacing w:lineRule="auto" w:line="360"/>
        <w:ind w:left="-1701" w:right="-1792"/>
        <w:jc w:val="both"/>
        <w:rPr>
          <w:rFonts w:cs="Times New Roman"/>
          <w:i/>
          <w:i/>
        </w:rPr>
      </w:pPr>
      <w:r>
        <w:rPr>
          <w:rFonts w:cs="Times New Roman"/>
          <w:i/>
        </w:rPr>
        <w:t xml:space="preserve">          </w:t>
      </w:r>
      <w:r>
        <w:rPr>
          <w:rFonts w:cs="Times New Roman"/>
          <w:i/>
        </w:rPr>
        <w:t>Prof. Paolo Carlani</w:t>
      </w:r>
      <w:bookmarkStart w:id="0" w:name="_GoBack"/>
      <w:bookmarkEnd w:id="0"/>
    </w:p>
    <w:p>
      <w:pPr>
        <w:pStyle w:val="Normal"/>
        <w:spacing w:lineRule="auto" w:line="360"/>
        <w:ind w:left="-1701" w:right="-1792"/>
        <w:jc w:val="both"/>
        <w:rPr>
          <w:rFonts w:cs="Times New Roman"/>
          <w:i/>
          <w:i/>
        </w:rPr>
      </w:pPr>
      <w:r>
        <w:rPr>
          <w:rFonts w:cs="Times New Roman"/>
          <w:i/>
        </w:rPr>
      </w:r>
    </w:p>
    <w:p>
      <w:pPr>
        <w:pStyle w:val="Normal"/>
        <w:spacing w:lineRule="auto" w:line="360"/>
        <w:ind w:left="-1701" w:right="-1792"/>
        <w:jc w:val="both"/>
        <w:rPr>
          <w:rFonts w:cs="Times New Roman"/>
        </w:rPr>
      </w:pPr>
      <w:r>
        <w:rPr>
          <w:rFonts w:cs="Times New Roman"/>
          <w:i/>
        </w:rPr>
        <w:t>________________</w:t>
      </w:r>
      <w:r>
        <w:rPr>
          <w:rFonts w:cs="Times New Roman"/>
        </w:rPr>
        <w:t>_________________</w:t>
        <w:tab/>
        <w:tab/>
        <w:t xml:space="preserve">________________________________ </w:t>
      </w:r>
    </w:p>
    <w:p>
      <w:pPr>
        <w:pStyle w:val="Normal"/>
        <w:ind w:left="-1701"/>
        <w:jc w:val="both"/>
        <w:rPr>
          <w:rFonts w:cs="Times New Roman"/>
        </w:rPr>
      </w:pPr>
      <w:r>
        <w:rPr>
          <w:rFonts w:cs="Times New Roman"/>
        </w:rPr>
      </w:r>
    </w:p>
    <w:sectPr>
      <w:type w:val="nextPage"/>
      <w:pgSz w:w="11906" w:h="16838"/>
      <w:pgMar w:left="2880" w:right="2880" w:gutter="0" w:header="0" w:top="1440" w:footer="0" w:bottom="426"/>
      <w:pgNumType w:fmt="decimal"/>
      <w:formProt w:val="false"/>
      <w:textDirection w:val="lrTb"/>
      <w:docGrid w:type="default" w:linePitch="360" w:charSpace="8192"/>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entury Gothic">
    <w:charset w:val="00"/>
    <w:family w:val="swiss"/>
    <w:pitch w:val="variable"/>
  </w:font>
  <w:font w:name="Cambria">
    <w:charset w:val="00"/>
    <w:family w:val="roman"/>
    <w:pitch w:val="variable"/>
  </w:font>
  <w:font w:name="Garamond">
    <w:charset w:val="00"/>
    <w:family w:val="roman"/>
    <w:pitch w:val="variable"/>
  </w:font>
  <w:font w:name="Tahoma">
    <w:charset w:val="00"/>
    <w:family w:val="swiss"/>
    <w:pitch w:val="variable"/>
  </w:font>
  <w:font w:name="Courier New">
    <w:charset w:val="00"/>
    <w:family w:val="auto"/>
    <w:pitch w:val="variable"/>
  </w:font>
  <w:font w:name="Liberation Sans">
    <w:altName w:val="Arial"/>
    <w:charset w:val="00"/>
    <w:family w:val="swiss"/>
    <w:pitch w:val="variable"/>
  </w:font>
  <w:font w:name="Comic Sans MS">
    <w:charset w:val="00"/>
    <w:family w:val="auto"/>
    <w:pitch w:val="variable"/>
  </w:font>
  <w:font w:name="Courier New">
    <w:charset w:val="01"/>
    <w:family w:val="modern"/>
    <w:pitch w:val="fixed"/>
  </w:font>
  <w:font w:name="Wingdings">
    <w:charset w:val="02"/>
    <w:family w:val="auto"/>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bullet"/>
      <w:lvlText w:val=""/>
      <w:lvlJc w:val="left"/>
      <w:pPr>
        <w:tabs>
          <w:tab w:val="num" w:pos="0"/>
        </w:tabs>
        <w:ind w:left="-981" w:hanging="360"/>
      </w:pPr>
      <w:rPr>
        <w:rFonts w:ascii="Symbol" w:hAnsi="Symbol" w:cs="Symbol" w:hint="default"/>
      </w:rPr>
    </w:lvl>
    <w:lvl w:ilvl="1">
      <w:start w:val="1"/>
      <w:numFmt w:val="bullet"/>
      <w:lvlText w:val="o"/>
      <w:lvlJc w:val="left"/>
      <w:pPr>
        <w:tabs>
          <w:tab w:val="num" w:pos="0"/>
        </w:tabs>
        <w:ind w:left="-261" w:hanging="360"/>
      </w:pPr>
      <w:rPr>
        <w:rFonts w:ascii="Courier New" w:hAnsi="Courier New" w:cs="Courier New" w:hint="default"/>
      </w:rPr>
    </w:lvl>
    <w:lvl w:ilvl="2">
      <w:start w:val="1"/>
      <w:numFmt w:val="bullet"/>
      <w:lvlText w:val=""/>
      <w:lvlJc w:val="left"/>
      <w:pPr>
        <w:tabs>
          <w:tab w:val="num" w:pos="0"/>
        </w:tabs>
        <w:ind w:left="459" w:hanging="360"/>
      </w:pPr>
      <w:rPr>
        <w:rFonts w:ascii="Wingdings" w:hAnsi="Wingdings" w:cs="Wingdings" w:hint="default"/>
      </w:rPr>
    </w:lvl>
    <w:lvl w:ilvl="3">
      <w:start w:val="1"/>
      <w:numFmt w:val="bullet"/>
      <w:lvlText w:val=""/>
      <w:lvlJc w:val="left"/>
      <w:pPr>
        <w:tabs>
          <w:tab w:val="num" w:pos="0"/>
        </w:tabs>
        <w:ind w:left="1179" w:hanging="360"/>
      </w:pPr>
      <w:rPr>
        <w:rFonts w:ascii="Symbol" w:hAnsi="Symbol" w:cs="Symbol" w:hint="default"/>
      </w:rPr>
    </w:lvl>
    <w:lvl w:ilvl="4">
      <w:start w:val="1"/>
      <w:numFmt w:val="bullet"/>
      <w:lvlText w:val="o"/>
      <w:lvlJc w:val="left"/>
      <w:pPr>
        <w:tabs>
          <w:tab w:val="num" w:pos="0"/>
        </w:tabs>
        <w:ind w:left="1899" w:hanging="360"/>
      </w:pPr>
      <w:rPr>
        <w:rFonts w:ascii="Courier New" w:hAnsi="Courier New" w:cs="Courier New" w:hint="default"/>
      </w:rPr>
    </w:lvl>
    <w:lvl w:ilvl="5">
      <w:start w:val="1"/>
      <w:numFmt w:val="bullet"/>
      <w:lvlText w:val=""/>
      <w:lvlJc w:val="left"/>
      <w:pPr>
        <w:tabs>
          <w:tab w:val="num" w:pos="0"/>
        </w:tabs>
        <w:ind w:left="2619" w:hanging="360"/>
      </w:pPr>
      <w:rPr>
        <w:rFonts w:ascii="Wingdings" w:hAnsi="Wingdings" w:cs="Wingdings" w:hint="default"/>
      </w:rPr>
    </w:lvl>
    <w:lvl w:ilvl="6">
      <w:start w:val="1"/>
      <w:numFmt w:val="bullet"/>
      <w:lvlText w:val=""/>
      <w:lvlJc w:val="left"/>
      <w:pPr>
        <w:tabs>
          <w:tab w:val="num" w:pos="0"/>
        </w:tabs>
        <w:ind w:left="3339" w:hanging="360"/>
      </w:pPr>
      <w:rPr>
        <w:rFonts w:ascii="Symbol" w:hAnsi="Symbol" w:cs="Symbol" w:hint="default"/>
      </w:rPr>
    </w:lvl>
    <w:lvl w:ilvl="7">
      <w:start w:val="1"/>
      <w:numFmt w:val="bullet"/>
      <w:lvlText w:val="o"/>
      <w:lvlJc w:val="left"/>
      <w:pPr>
        <w:tabs>
          <w:tab w:val="num" w:pos="0"/>
        </w:tabs>
        <w:ind w:left="4059" w:hanging="360"/>
      </w:pPr>
      <w:rPr>
        <w:rFonts w:ascii="Courier New" w:hAnsi="Courier New" w:cs="Courier New" w:hint="default"/>
      </w:rPr>
    </w:lvl>
    <w:lvl w:ilvl="8">
      <w:start w:val="1"/>
      <w:numFmt w:val="bullet"/>
      <w:lvlText w:val=""/>
      <w:lvlJc w:val="left"/>
      <w:pPr>
        <w:tabs>
          <w:tab w:val="num" w:pos="0"/>
        </w:tabs>
        <w:ind w:left="4779" w:hanging="360"/>
      </w:pPr>
      <w:rPr>
        <w:rFonts w:ascii="Wingdings" w:hAnsi="Wingdings" w:cs="Wingdings" w:hint="default"/>
      </w:rPr>
    </w:lvl>
  </w:abstractNum>
  <w:abstractNum w:abstractNumId="2">
    <w:lvl w:ilvl="0">
      <w:start w:val="1"/>
      <w:numFmt w:val="bullet"/>
      <w:lvlText w:val=""/>
      <w:lvlJc w:val="left"/>
      <w:pPr>
        <w:tabs>
          <w:tab w:val="num" w:pos="0"/>
        </w:tabs>
        <w:ind w:left="-981" w:hanging="360"/>
      </w:pPr>
      <w:rPr>
        <w:rFonts w:ascii="Symbol" w:hAnsi="Symbol" w:cs="Symbol" w:hint="default"/>
      </w:rPr>
    </w:lvl>
    <w:lvl w:ilvl="1">
      <w:start w:val="1"/>
      <w:numFmt w:val="bullet"/>
      <w:lvlText w:val="o"/>
      <w:lvlJc w:val="left"/>
      <w:pPr>
        <w:tabs>
          <w:tab w:val="num" w:pos="0"/>
        </w:tabs>
        <w:ind w:left="-261" w:hanging="360"/>
      </w:pPr>
      <w:rPr>
        <w:rFonts w:ascii="Courier New" w:hAnsi="Courier New" w:cs="Courier New" w:hint="default"/>
      </w:rPr>
    </w:lvl>
    <w:lvl w:ilvl="2">
      <w:start w:val="1"/>
      <w:numFmt w:val="bullet"/>
      <w:lvlText w:val=""/>
      <w:lvlJc w:val="left"/>
      <w:pPr>
        <w:tabs>
          <w:tab w:val="num" w:pos="0"/>
        </w:tabs>
        <w:ind w:left="459" w:hanging="360"/>
      </w:pPr>
      <w:rPr>
        <w:rFonts w:ascii="Wingdings" w:hAnsi="Wingdings" w:cs="Wingdings" w:hint="default"/>
      </w:rPr>
    </w:lvl>
    <w:lvl w:ilvl="3">
      <w:start w:val="1"/>
      <w:numFmt w:val="bullet"/>
      <w:lvlText w:val=""/>
      <w:lvlJc w:val="left"/>
      <w:pPr>
        <w:tabs>
          <w:tab w:val="num" w:pos="0"/>
        </w:tabs>
        <w:ind w:left="1179" w:hanging="360"/>
      </w:pPr>
      <w:rPr>
        <w:rFonts w:ascii="Symbol" w:hAnsi="Symbol" w:cs="Symbol" w:hint="default"/>
      </w:rPr>
    </w:lvl>
    <w:lvl w:ilvl="4">
      <w:start w:val="1"/>
      <w:numFmt w:val="bullet"/>
      <w:lvlText w:val="o"/>
      <w:lvlJc w:val="left"/>
      <w:pPr>
        <w:tabs>
          <w:tab w:val="num" w:pos="0"/>
        </w:tabs>
        <w:ind w:left="1899" w:hanging="360"/>
      </w:pPr>
      <w:rPr>
        <w:rFonts w:ascii="Courier New" w:hAnsi="Courier New" w:cs="Courier New" w:hint="default"/>
      </w:rPr>
    </w:lvl>
    <w:lvl w:ilvl="5">
      <w:start w:val="1"/>
      <w:numFmt w:val="bullet"/>
      <w:lvlText w:val=""/>
      <w:lvlJc w:val="left"/>
      <w:pPr>
        <w:tabs>
          <w:tab w:val="num" w:pos="0"/>
        </w:tabs>
        <w:ind w:left="2619" w:hanging="360"/>
      </w:pPr>
      <w:rPr>
        <w:rFonts w:ascii="Wingdings" w:hAnsi="Wingdings" w:cs="Wingdings" w:hint="default"/>
      </w:rPr>
    </w:lvl>
    <w:lvl w:ilvl="6">
      <w:start w:val="1"/>
      <w:numFmt w:val="bullet"/>
      <w:lvlText w:val=""/>
      <w:lvlJc w:val="left"/>
      <w:pPr>
        <w:tabs>
          <w:tab w:val="num" w:pos="0"/>
        </w:tabs>
        <w:ind w:left="3339" w:hanging="360"/>
      </w:pPr>
      <w:rPr>
        <w:rFonts w:ascii="Symbol" w:hAnsi="Symbol" w:cs="Symbol" w:hint="default"/>
      </w:rPr>
    </w:lvl>
    <w:lvl w:ilvl="7">
      <w:start w:val="1"/>
      <w:numFmt w:val="bullet"/>
      <w:lvlText w:val="o"/>
      <w:lvlJc w:val="left"/>
      <w:pPr>
        <w:tabs>
          <w:tab w:val="num" w:pos="0"/>
        </w:tabs>
        <w:ind w:left="4059" w:hanging="360"/>
      </w:pPr>
      <w:rPr>
        <w:rFonts w:ascii="Courier New" w:hAnsi="Courier New" w:cs="Courier New" w:hint="default"/>
      </w:rPr>
    </w:lvl>
    <w:lvl w:ilvl="8">
      <w:start w:val="1"/>
      <w:numFmt w:val="bullet"/>
      <w:lvlText w:val=""/>
      <w:lvlJc w:val="left"/>
      <w:pPr>
        <w:tabs>
          <w:tab w:val="num" w:pos="0"/>
        </w:tabs>
        <w:ind w:left="4779" w:hanging="360"/>
      </w:pPr>
      <w:rPr>
        <w:rFonts w:ascii="Wingdings" w:hAnsi="Wingdings" w:cs="Wingdings" w:hint="default"/>
      </w:rPr>
    </w:lvl>
  </w:abstractNum>
  <w:abstractNum w:abstractNumId="3">
    <w:lvl w:ilvl="0">
      <w:start w:val="1"/>
      <w:numFmt w:val="bullet"/>
      <w:lvlText w:val=""/>
      <w:lvlJc w:val="left"/>
      <w:pPr>
        <w:tabs>
          <w:tab w:val="num" w:pos="0"/>
        </w:tabs>
        <w:ind w:left="-981" w:hanging="360"/>
      </w:pPr>
      <w:rPr>
        <w:rFonts w:ascii="Symbol" w:hAnsi="Symbol" w:cs="Symbol" w:hint="default"/>
      </w:rPr>
    </w:lvl>
    <w:lvl w:ilvl="1">
      <w:start w:val="1"/>
      <w:numFmt w:val="bullet"/>
      <w:lvlText w:val="o"/>
      <w:lvlJc w:val="left"/>
      <w:pPr>
        <w:tabs>
          <w:tab w:val="num" w:pos="0"/>
        </w:tabs>
        <w:ind w:left="-261" w:hanging="360"/>
      </w:pPr>
      <w:rPr>
        <w:rFonts w:ascii="Courier New" w:hAnsi="Courier New" w:cs="Courier New" w:hint="default"/>
      </w:rPr>
    </w:lvl>
    <w:lvl w:ilvl="2">
      <w:start w:val="1"/>
      <w:numFmt w:val="bullet"/>
      <w:lvlText w:val=""/>
      <w:lvlJc w:val="left"/>
      <w:pPr>
        <w:tabs>
          <w:tab w:val="num" w:pos="0"/>
        </w:tabs>
        <w:ind w:left="459" w:hanging="360"/>
      </w:pPr>
      <w:rPr>
        <w:rFonts w:ascii="Wingdings" w:hAnsi="Wingdings" w:cs="Wingdings" w:hint="default"/>
      </w:rPr>
    </w:lvl>
    <w:lvl w:ilvl="3">
      <w:start w:val="1"/>
      <w:numFmt w:val="bullet"/>
      <w:lvlText w:val=""/>
      <w:lvlJc w:val="left"/>
      <w:pPr>
        <w:tabs>
          <w:tab w:val="num" w:pos="0"/>
        </w:tabs>
        <w:ind w:left="1179" w:hanging="360"/>
      </w:pPr>
      <w:rPr>
        <w:rFonts w:ascii="Symbol" w:hAnsi="Symbol" w:cs="Symbol" w:hint="default"/>
      </w:rPr>
    </w:lvl>
    <w:lvl w:ilvl="4">
      <w:start w:val="1"/>
      <w:numFmt w:val="bullet"/>
      <w:lvlText w:val="o"/>
      <w:lvlJc w:val="left"/>
      <w:pPr>
        <w:tabs>
          <w:tab w:val="num" w:pos="0"/>
        </w:tabs>
        <w:ind w:left="1899" w:hanging="360"/>
      </w:pPr>
      <w:rPr>
        <w:rFonts w:ascii="Courier New" w:hAnsi="Courier New" w:cs="Courier New" w:hint="default"/>
      </w:rPr>
    </w:lvl>
    <w:lvl w:ilvl="5">
      <w:start w:val="1"/>
      <w:numFmt w:val="bullet"/>
      <w:lvlText w:val=""/>
      <w:lvlJc w:val="left"/>
      <w:pPr>
        <w:tabs>
          <w:tab w:val="num" w:pos="0"/>
        </w:tabs>
        <w:ind w:left="2619" w:hanging="360"/>
      </w:pPr>
      <w:rPr>
        <w:rFonts w:ascii="Wingdings" w:hAnsi="Wingdings" w:cs="Wingdings" w:hint="default"/>
      </w:rPr>
    </w:lvl>
    <w:lvl w:ilvl="6">
      <w:start w:val="1"/>
      <w:numFmt w:val="bullet"/>
      <w:lvlText w:val=""/>
      <w:lvlJc w:val="left"/>
      <w:pPr>
        <w:tabs>
          <w:tab w:val="num" w:pos="0"/>
        </w:tabs>
        <w:ind w:left="3339" w:hanging="360"/>
      </w:pPr>
      <w:rPr>
        <w:rFonts w:ascii="Symbol" w:hAnsi="Symbol" w:cs="Symbol" w:hint="default"/>
      </w:rPr>
    </w:lvl>
    <w:lvl w:ilvl="7">
      <w:start w:val="1"/>
      <w:numFmt w:val="bullet"/>
      <w:lvlText w:val="o"/>
      <w:lvlJc w:val="left"/>
      <w:pPr>
        <w:tabs>
          <w:tab w:val="num" w:pos="0"/>
        </w:tabs>
        <w:ind w:left="4059" w:hanging="360"/>
      </w:pPr>
      <w:rPr>
        <w:rFonts w:ascii="Courier New" w:hAnsi="Courier New" w:cs="Courier New" w:hint="default"/>
      </w:rPr>
    </w:lvl>
    <w:lvl w:ilvl="8">
      <w:start w:val="1"/>
      <w:numFmt w:val="bullet"/>
      <w:lvlText w:val=""/>
      <w:lvlJc w:val="left"/>
      <w:pPr>
        <w:tabs>
          <w:tab w:val="num" w:pos="0"/>
        </w:tabs>
        <w:ind w:left="4779" w:hanging="360"/>
      </w:pPr>
      <w:rPr>
        <w:rFonts w:ascii="Wingdings" w:hAnsi="Wingdings" w:cs="Wingdings" w:hint="default"/>
      </w:rPr>
    </w:lvl>
  </w:abstractNum>
  <w:abstractNum w:abstractNumId="4">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bering>
</file>

<file path=word/settings.xml><?xml version="1.0" encoding="utf-8"?>
<w:settings xmlns:w="http://schemas.openxmlformats.org/wordprocessingml/2006/main">
  <w:zoom w:percent="120"/>
  <w:displayBackgroundShape/>
  <w:embedSystemFonts/>
  <w:defaultTabStop w:val="720"/>
  <w:autoHyphenation w:val="true"/>
  <w:hyphenationZone w:val="0"/>
  <w:compat>
    <w:compatSetting w:name="compatibilityMode" w:uri="http://schemas.microsoft.com/office/word" w:val="12"/>
  </w:compat>
  <w:themeFontLang w:val="it-IT"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it-IT" w:eastAsia="it-IT"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0"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uiPriority="0"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1d7217"/>
    <w:pPr>
      <w:widowControl w:val="false"/>
      <w:suppressAutoHyphens w:val="true"/>
      <w:bidi w:val="0"/>
      <w:spacing w:before="0" w:after="0"/>
      <w:jc w:val="left"/>
    </w:pPr>
    <w:rPr>
      <w:rFonts w:eastAsia="Arial Unicode MS" w:cs="Arial Unicode MS" w:ascii="Times New Roman" w:hAnsi="Times New Roman"/>
      <w:color w:val="00000A"/>
      <w:kern w:val="2"/>
      <w:sz w:val="24"/>
      <w:szCs w:val="24"/>
      <w:lang w:eastAsia="zh-CN" w:bidi="hi-IN" w:val="it-IT"/>
    </w:rPr>
  </w:style>
  <w:style w:type="paragraph" w:styleId="Heading1">
    <w:name w:val="heading 1"/>
    <w:next w:val="BodyText"/>
    <w:qFormat/>
    <w:rsid w:val="001d7217"/>
    <w:pPr>
      <w:keepNext w:val="true"/>
      <w:keepLines/>
      <w:widowControl w:val="false"/>
      <w:tabs>
        <w:tab w:val="clear" w:pos="720"/>
        <w:tab w:val="left" w:pos="432" w:leader="none"/>
      </w:tabs>
      <w:suppressAutoHyphens w:val="true"/>
      <w:bidi w:val="0"/>
      <w:spacing w:before="240" w:after="0"/>
      <w:ind w:hanging="432" w:left="432"/>
      <w:jc w:val="left"/>
      <w:outlineLvl w:val="0"/>
    </w:pPr>
    <w:rPr>
      <w:rFonts w:ascii="Century Gothic" w:hAnsi="Century Gothic" w:eastAsia="Arial Unicode MS" w:cs="Arial Unicode MS"/>
      <w:color w:val="F24F4F"/>
      <w:kern w:val="2"/>
      <w:sz w:val="32"/>
      <w:szCs w:val="32"/>
      <w:lang w:eastAsia="zh-CN" w:bidi="hi-IN" w:val="it-IT"/>
    </w:rPr>
  </w:style>
  <w:style w:type="paragraph" w:styleId="Heading2">
    <w:name w:val="heading 2"/>
    <w:next w:val="BodyText"/>
    <w:link w:val="Titolo2Carattere"/>
    <w:qFormat/>
    <w:rsid w:val="001d7217"/>
    <w:pPr>
      <w:keepNext w:val="true"/>
      <w:keepLines/>
      <w:widowControl w:val="false"/>
      <w:tabs>
        <w:tab w:val="clear" w:pos="720"/>
        <w:tab w:val="left" w:pos="576" w:leader="none"/>
      </w:tabs>
      <w:suppressAutoHyphens w:val="true"/>
      <w:bidi w:val="0"/>
      <w:spacing w:before="40" w:after="0"/>
      <w:ind w:hanging="576" w:left="576"/>
      <w:jc w:val="left"/>
      <w:outlineLvl w:val="1"/>
    </w:pPr>
    <w:rPr>
      <w:rFonts w:ascii="Century Gothic" w:hAnsi="Century Gothic" w:eastAsia="Arial Unicode MS" w:cs="Arial Unicode MS"/>
      <w:color w:val="F24F4F"/>
      <w:kern w:val="2"/>
      <w:sz w:val="26"/>
      <w:szCs w:val="26"/>
      <w:lang w:eastAsia="zh-CN" w:bidi="hi-IN" w:val="it-IT"/>
    </w:rPr>
  </w:style>
  <w:style w:type="paragraph" w:styleId="Heading3">
    <w:name w:val="heading 3"/>
    <w:basedOn w:val="Normal"/>
    <w:next w:val="Normal"/>
    <w:link w:val="Titolo3Carattere"/>
    <w:uiPriority w:val="9"/>
    <w:semiHidden/>
    <w:unhideWhenUsed/>
    <w:qFormat/>
    <w:rsid w:val="004a47d3"/>
    <w:pPr>
      <w:keepNext w:val="true"/>
      <w:spacing w:before="240" w:after="60"/>
      <w:outlineLvl w:val="2"/>
    </w:pPr>
    <w:rPr>
      <w:rFonts w:ascii="Cambria" w:hAnsi="Cambria" w:eastAsia="Times New Roman" w:cs="Mangal"/>
      <w:b/>
      <w:bCs/>
      <w:sz w:val="26"/>
      <w:szCs w:val="23"/>
    </w:rPr>
  </w:style>
  <w:style w:type="paragraph" w:styleId="Heading5">
    <w:name w:val="heading 5"/>
    <w:basedOn w:val="Normal"/>
    <w:next w:val="Normal"/>
    <w:link w:val="Titolo5Carattere"/>
    <w:uiPriority w:val="9"/>
    <w:semiHidden/>
    <w:unhideWhenUsed/>
    <w:qFormat/>
    <w:rsid w:val="002431c2"/>
    <w:pPr>
      <w:keepNext w:val="true"/>
      <w:keepLines/>
      <w:spacing w:before="200" w:after="0"/>
      <w:outlineLvl w:val="4"/>
    </w:pPr>
    <w:rPr>
      <w:rFonts w:ascii="Cambria" w:hAnsi="Cambria" w:eastAsia="" w:cs="Mangal" w:asciiTheme="majorHAnsi" w:eastAsiaTheme="majorEastAsia" w:hAnsiTheme="majorHAnsi"/>
      <w:color w:themeColor="accent1" w:themeShade="7f" w:val="243F60"/>
      <w:szCs w:val="21"/>
    </w:rPr>
  </w:style>
  <w:style w:type="character" w:styleId="DefaultParagraphFont" w:default="1">
    <w:name w:val="Default Paragraph Font"/>
    <w:uiPriority w:val="1"/>
    <w:semiHidden/>
    <w:unhideWhenUsed/>
    <w:qFormat/>
    <w:rPr/>
  </w:style>
  <w:style w:type="character" w:styleId="WW8Num1zfalse" w:customStyle="1">
    <w:name w:val="WW8Num1zfalse"/>
    <w:qFormat/>
    <w:rsid w:val="001d7217"/>
    <w:rPr/>
  </w:style>
  <w:style w:type="character" w:styleId="WW8Num1ztrue" w:customStyle="1">
    <w:name w:val="WW8Num1ztrue"/>
    <w:qFormat/>
    <w:rsid w:val="001d7217"/>
    <w:rPr/>
  </w:style>
  <w:style w:type="character" w:styleId="WW8Num2zfalse" w:customStyle="1">
    <w:name w:val="WW8Num2zfalse"/>
    <w:qFormat/>
    <w:rsid w:val="001d7217"/>
    <w:rPr/>
  </w:style>
  <w:style w:type="character" w:styleId="WW8Num2ztrue" w:customStyle="1">
    <w:name w:val="WW8Num2ztrue"/>
    <w:qFormat/>
    <w:rsid w:val="001d7217"/>
    <w:rPr/>
  </w:style>
  <w:style w:type="character" w:styleId="Carpredefinitoparagrafo1" w:customStyle="1">
    <w:name w:val="Car. predefinito paragrafo1"/>
    <w:qFormat/>
    <w:rsid w:val="001d7217"/>
    <w:rPr/>
  </w:style>
  <w:style w:type="character" w:styleId="TitleChar" w:customStyle="1">
    <w:name w:val="Title Char"/>
    <w:basedOn w:val="Carpredefinitoparagrafo1"/>
    <w:qFormat/>
    <w:rsid w:val="001d7217"/>
    <w:rPr>
      <w:rFonts w:ascii="Century Gothic" w:hAnsi="Century Gothic" w:cs="Century Gothic"/>
      <w:sz w:val="60"/>
      <w:szCs w:val="60"/>
    </w:rPr>
  </w:style>
  <w:style w:type="character" w:styleId="Testosegnaposto1" w:customStyle="1">
    <w:name w:val="Testo segnaposto1"/>
    <w:basedOn w:val="Carpredefinitoparagrafo1"/>
    <w:qFormat/>
    <w:rsid w:val="001d7217"/>
    <w:rPr>
      <w:color w:val="808080"/>
    </w:rPr>
  </w:style>
  <w:style w:type="character" w:styleId="Strong">
    <w:name w:val="Strong"/>
    <w:basedOn w:val="Carpredefinitoparagrafo1"/>
    <w:qFormat/>
    <w:rsid w:val="001d7217"/>
    <w:rPr>
      <w:b/>
      <w:bCs/>
      <w:color w:val="F24F4F"/>
    </w:rPr>
  </w:style>
  <w:style w:type="character" w:styleId="DateChar" w:customStyle="1">
    <w:name w:val="Date Char"/>
    <w:basedOn w:val="Carpredefinitoparagrafo1"/>
    <w:qFormat/>
    <w:rsid w:val="001d7217"/>
    <w:rPr/>
  </w:style>
  <w:style w:type="character" w:styleId="SalutationChar" w:customStyle="1">
    <w:name w:val="Salutation Char"/>
    <w:basedOn w:val="Carpredefinitoparagrafo1"/>
    <w:qFormat/>
    <w:rsid w:val="001d7217"/>
    <w:rPr>
      <w:b/>
      <w:bCs/>
    </w:rPr>
  </w:style>
  <w:style w:type="character" w:styleId="ClosingChar" w:customStyle="1">
    <w:name w:val="Closing Char"/>
    <w:basedOn w:val="Carpredefinitoparagrafo1"/>
    <w:qFormat/>
    <w:rsid w:val="001d7217"/>
    <w:rPr/>
  </w:style>
  <w:style w:type="character" w:styleId="HeaderChar" w:customStyle="1">
    <w:name w:val="Header Char"/>
    <w:basedOn w:val="Carpredefinitoparagrafo1"/>
    <w:qFormat/>
    <w:rsid w:val="001d7217"/>
    <w:rPr/>
  </w:style>
  <w:style w:type="character" w:styleId="FooterChar" w:customStyle="1">
    <w:name w:val="Footer Char"/>
    <w:basedOn w:val="Carpredefinitoparagrafo1"/>
    <w:qFormat/>
    <w:rsid w:val="001d7217"/>
    <w:rPr>
      <w:i/>
      <w:iCs/>
      <w:color w:val="F24F4F"/>
    </w:rPr>
  </w:style>
  <w:style w:type="character" w:styleId="Heading1Char" w:customStyle="1">
    <w:name w:val="Heading 1 Char"/>
    <w:basedOn w:val="Carpredefinitoparagrafo1"/>
    <w:qFormat/>
    <w:rsid w:val="001d7217"/>
    <w:rPr>
      <w:rFonts w:ascii="Century Gothic" w:hAnsi="Century Gothic" w:cs="Century Gothic"/>
      <w:color w:val="F24F4F"/>
      <w:sz w:val="32"/>
      <w:szCs w:val="32"/>
    </w:rPr>
  </w:style>
  <w:style w:type="character" w:styleId="Heading2Char" w:customStyle="1">
    <w:name w:val="Heading 2 Char"/>
    <w:basedOn w:val="Carpredefinitoparagrafo1"/>
    <w:qFormat/>
    <w:rsid w:val="001d7217"/>
    <w:rPr>
      <w:rFonts w:ascii="Century Gothic" w:hAnsi="Century Gothic" w:cs="Century Gothic"/>
      <w:color w:val="F24F4F"/>
      <w:sz w:val="26"/>
      <w:szCs w:val="26"/>
    </w:rPr>
  </w:style>
  <w:style w:type="character" w:styleId="Hyperlink">
    <w:name w:val="Hyperlink"/>
    <w:basedOn w:val="DefaultParagraphFont"/>
    <w:rsid w:val="00f0348b"/>
    <w:rPr>
      <w:color w:val="0000FF"/>
      <w:u w:val="single"/>
    </w:rPr>
  </w:style>
  <w:style w:type="character" w:styleId="IntestazioneCarattere" w:customStyle="1">
    <w:name w:val="Intestazione Carattere"/>
    <w:basedOn w:val="DefaultParagraphFont"/>
    <w:qFormat/>
    <w:rsid w:val="00e9089f"/>
    <w:rPr>
      <w:rFonts w:ascii="Garamond" w:hAnsi="Garamond" w:eastAsia="Arial Unicode MS" w:cs="Arial Unicode MS"/>
      <w:color w:val="00000A"/>
      <w:kern w:val="2"/>
      <w:lang w:val="en-US" w:eastAsia="ja-JP"/>
    </w:rPr>
  </w:style>
  <w:style w:type="character" w:styleId="RientrocorpodeltestoCarattere" w:customStyle="1">
    <w:name w:val="Rientro corpo del testo Carattere"/>
    <w:basedOn w:val="DefaultParagraphFont"/>
    <w:uiPriority w:val="99"/>
    <w:semiHidden/>
    <w:qFormat/>
    <w:rsid w:val="00631cbd"/>
    <w:rPr>
      <w:rFonts w:eastAsia="Arial Unicode MS" w:cs="Mangal"/>
      <w:color w:val="00000A"/>
      <w:kern w:val="2"/>
      <w:sz w:val="24"/>
      <w:szCs w:val="21"/>
      <w:lang w:eastAsia="zh-CN" w:bidi="hi-IN"/>
    </w:rPr>
  </w:style>
  <w:style w:type="character" w:styleId="TestofumettoCarattere" w:customStyle="1">
    <w:name w:val="Testo fumetto Carattere"/>
    <w:basedOn w:val="DefaultParagraphFont"/>
    <w:link w:val="BalloonText"/>
    <w:uiPriority w:val="99"/>
    <w:semiHidden/>
    <w:qFormat/>
    <w:rsid w:val="00ba3cdf"/>
    <w:rPr>
      <w:rFonts w:ascii="Tahoma" w:hAnsi="Tahoma" w:eastAsia="Arial Unicode MS" w:cs="Mangal"/>
      <w:color w:val="00000A"/>
      <w:kern w:val="2"/>
      <w:sz w:val="16"/>
      <w:szCs w:val="14"/>
      <w:lang w:eastAsia="zh-CN" w:bidi="hi-IN"/>
    </w:rPr>
  </w:style>
  <w:style w:type="character" w:styleId="TestonormaleCarattere" w:customStyle="1">
    <w:name w:val="Testo normale Carattere"/>
    <w:basedOn w:val="DefaultParagraphFont"/>
    <w:link w:val="PlainText"/>
    <w:qFormat/>
    <w:rsid w:val="0065641b"/>
    <w:rPr>
      <w:rFonts w:ascii="Courier New" w:hAnsi="Courier New" w:cs="Courier New"/>
    </w:rPr>
  </w:style>
  <w:style w:type="character" w:styleId="Titolo3Carattere" w:customStyle="1">
    <w:name w:val="Titolo 3 Carattere"/>
    <w:basedOn w:val="DefaultParagraphFont"/>
    <w:uiPriority w:val="9"/>
    <w:semiHidden/>
    <w:qFormat/>
    <w:rsid w:val="004a47d3"/>
    <w:rPr>
      <w:rFonts w:ascii="Cambria" w:hAnsi="Cambria" w:eastAsia="Times New Roman" w:cs="Mangal"/>
      <w:b/>
      <w:bCs/>
      <w:color w:val="00000A"/>
      <w:kern w:val="2"/>
      <w:sz w:val="26"/>
      <w:szCs w:val="23"/>
      <w:lang w:eastAsia="zh-CN" w:bidi="hi-IN"/>
    </w:rPr>
  </w:style>
  <w:style w:type="character" w:styleId="Titolo2Carattere" w:customStyle="1">
    <w:name w:val="Titolo 2 Carattere"/>
    <w:basedOn w:val="DefaultParagraphFont"/>
    <w:qFormat/>
    <w:rsid w:val="0097396d"/>
    <w:rPr>
      <w:rFonts w:ascii="Century Gothic" w:hAnsi="Century Gothic" w:eastAsia="Arial Unicode MS" w:cs="Arial Unicode MS"/>
      <w:color w:val="F24F4F"/>
      <w:kern w:val="2"/>
      <w:sz w:val="26"/>
      <w:szCs w:val="26"/>
      <w:lang w:eastAsia="zh-CN" w:bidi="hi-IN"/>
    </w:rPr>
  </w:style>
  <w:style w:type="character" w:styleId="CorpotestoCarattere" w:customStyle="1">
    <w:name w:val="Corpo testo Carattere"/>
    <w:basedOn w:val="DefaultParagraphFont"/>
    <w:qFormat/>
    <w:rsid w:val="0097396d"/>
    <w:rPr>
      <w:rFonts w:eastAsia="Arial Unicode MS" w:cs="Arial Unicode MS"/>
      <w:color w:val="00000A"/>
      <w:kern w:val="2"/>
      <w:sz w:val="24"/>
      <w:szCs w:val="24"/>
      <w:lang w:eastAsia="zh-CN" w:bidi="hi-IN"/>
    </w:rPr>
  </w:style>
  <w:style w:type="character" w:styleId="apple-converted-space" w:customStyle="1">
    <w:name w:val="apple-converted-space"/>
    <w:basedOn w:val="DefaultParagraphFont"/>
    <w:qFormat/>
    <w:rsid w:val="0097396d"/>
    <w:rPr/>
  </w:style>
  <w:style w:type="character" w:styleId="Titolo5Carattere" w:customStyle="1">
    <w:name w:val="Titolo 5 Carattere"/>
    <w:basedOn w:val="DefaultParagraphFont"/>
    <w:uiPriority w:val="9"/>
    <w:semiHidden/>
    <w:qFormat/>
    <w:rsid w:val="002431c2"/>
    <w:rPr>
      <w:rFonts w:ascii="Cambria" w:hAnsi="Cambria" w:eastAsia="" w:cs="Mangal" w:asciiTheme="majorHAnsi" w:eastAsiaTheme="majorEastAsia" w:hAnsiTheme="majorHAnsi"/>
      <w:color w:themeColor="accent1" w:themeShade="7f" w:val="243F60"/>
      <w:kern w:val="2"/>
      <w:sz w:val="24"/>
      <w:szCs w:val="21"/>
      <w:lang w:eastAsia="zh-CN" w:bidi="hi-IN"/>
    </w:rPr>
  </w:style>
  <w:style w:type="character" w:styleId="Corpodeltesto2Carattere" w:customStyle="1">
    <w:name w:val="Corpo del testo 2 Carattere"/>
    <w:basedOn w:val="DefaultParagraphFont"/>
    <w:link w:val="BodyText2"/>
    <w:uiPriority w:val="99"/>
    <w:semiHidden/>
    <w:qFormat/>
    <w:rsid w:val="00f8608e"/>
    <w:rPr>
      <w:rFonts w:eastAsia="Arial Unicode MS" w:cs="Mangal"/>
      <w:color w:val="00000A"/>
      <w:kern w:val="2"/>
      <w:sz w:val="24"/>
      <w:szCs w:val="21"/>
      <w:lang w:eastAsia="zh-CN" w:bidi="hi-IN"/>
    </w:rPr>
  </w:style>
  <w:style w:type="paragraph" w:styleId="Titolo">
    <w:name w:val="Titolo"/>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CorpotestoCarattere"/>
    <w:rsid w:val="001d7217"/>
    <w:pPr>
      <w:spacing w:before="0" w:after="120"/>
    </w:pPr>
    <w:rPr/>
  </w:style>
  <w:style w:type="paragraph" w:styleId="List">
    <w:name w:val="List"/>
    <w:rsid w:val="001d7217"/>
    <w:pPr>
      <w:widowControl w:val="false"/>
      <w:suppressAutoHyphens w:val="true"/>
      <w:bidi w:val="0"/>
      <w:spacing w:before="0" w:after="0"/>
      <w:jc w:val="left"/>
    </w:pPr>
    <w:rPr>
      <w:rFonts w:eastAsia="Arial Unicode MS" w:cs="Arial Unicode MS" w:ascii="Times New Roman" w:hAnsi="Times New Roman"/>
      <w:color w:val="auto"/>
      <w:kern w:val="2"/>
      <w:sz w:val="24"/>
      <w:szCs w:val="24"/>
      <w:lang w:eastAsia="zh-CN" w:bidi="hi-IN" w:val="it-IT"/>
    </w:rPr>
  </w:style>
  <w:style w:type="paragraph" w:styleId="Caption">
    <w:name w:val="caption"/>
    <w:qFormat/>
    <w:rsid w:val="001d7217"/>
    <w:pPr>
      <w:widowControl w:val="false"/>
      <w:suppressLineNumbers/>
      <w:suppressAutoHyphens w:val="true"/>
      <w:bidi w:val="0"/>
      <w:spacing w:before="120" w:after="120"/>
      <w:jc w:val="left"/>
    </w:pPr>
    <w:rPr>
      <w:rFonts w:eastAsia="Arial Unicode MS" w:cs="Arial Unicode MS" w:ascii="Times New Roman" w:hAnsi="Times New Roman"/>
      <w:i/>
      <w:iCs/>
      <w:color w:val="auto"/>
      <w:kern w:val="2"/>
      <w:sz w:val="24"/>
      <w:szCs w:val="24"/>
      <w:lang w:eastAsia="zh-CN" w:bidi="hi-IN" w:val="it-IT"/>
    </w:rPr>
  </w:style>
  <w:style w:type="paragraph" w:styleId="Indice" w:customStyle="1">
    <w:name w:val="Indice"/>
    <w:qFormat/>
    <w:rsid w:val="001d7217"/>
    <w:pPr>
      <w:widowControl w:val="false"/>
      <w:suppressLineNumbers/>
      <w:suppressAutoHyphens w:val="true"/>
      <w:bidi w:val="0"/>
      <w:spacing w:before="0" w:after="0"/>
      <w:jc w:val="left"/>
    </w:pPr>
    <w:rPr>
      <w:rFonts w:eastAsia="Arial Unicode MS" w:cs="Arial Unicode MS" w:ascii="Times New Roman" w:hAnsi="Times New Roman"/>
      <w:color w:val="auto"/>
      <w:kern w:val="2"/>
      <w:sz w:val="24"/>
      <w:szCs w:val="24"/>
      <w:lang w:eastAsia="zh-CN" w:bidi="hi-IN" w:val="it-IT"/>
    </w:rPr>
  </w:style>
  <w:style w:type="paragraph" w:styleId="Intestazione1" w:customStyle="1">
    <w:name w:val="Intestazione1"/>
    <w:next w:val="BodyText"/>
    <w:qFormat/>
    <w:rsid w:val="001d7217"/>
    <w:pPr>
      <w:keepNext w:val="true"/>
      <w:widowControl w:val="false"/>
      <w:suppressAutoHyphens w:val="true"/>
      <w:bidi w:val="0"/>
      <w:spacing w:before="240" w:after="120"/>
      <w:jc w:val="left"/>
    </w:pPr>
    <w:rPr>
      <w:rFonts w:ascii="Arial" w:hAnsi="Arial" w:eastAsia="Arial Unicode MS" w:cs="Arial Unicode MS"/>
      <w:color w:val="auto"/>
      <w:kern w:val="2"/>
      <w:sz w:val="28"/>
      <w:szCs w:val="28"/>
      <w:lang w:eastAsia="zh-CN" w:bidi="hi-IN" w:val="it-IT"/>
    </w:rPr>
  </w:style>
  <w:style w:type="paragraph" w:styleId="Predefinito" w:customStyle="1">
    <w:name w:val="Predefinito"/>
    <w:qFormat/>
    <w:rsid w:val="001d7217"/>
    <w:pPr>
      <w:widowControl/>
      <w:tabs>
        <w:tab w:val="clear" w:pos="720"/>
        <w:tab w:val="left" w:pos="4464" w:leader="none"/>
      </w:tabs>
      <w:suppressAutoHyphens w:val="true"/>
      <w:bidi w:val="0"/>
      <w:spacing w:lineRule="auto" w:line="300" w:before="0" w:after="240"/>
      <w:ind w:left="3744"/>
      <w:jc w:val="left"/>
    </w:pPr>
    <w:rPr>
      <w:rFonts w:ascii="Garamond" w:hAnsi="Garamond" w:eastAsia="Arial Unicode MS" w:cs="Arial Unicode MS"/>
      <w:color w:val="00000A"/>
      <w:kern w:val="2"/>
      <w:sz w:val="20"/>
      <w:szCs w:val="20"/>
      <w:lang w:val="en-US" w:eastAsia="ja-JP" w:bidi="ar-SA"/>
    </w:rPr>
  </w:style>
  <w:style w:type="paragraph" w:styleId="Corpotesto1" w:customStyle="1">
    <w:name w:val="Corpo testo1"/>
    <w:basedOn w:val="Predefinito"/>
    <w:qFormat/>
    <w:rsid w:val="001d7217"/>
    <w:pPr>
      <w:spacing w:before="0" w:after="120"/>
    </w:pPr>
    <w:rPr/>
  </w:style>
  <w:style w:type="paragraph" w:styleId="Title">
    <w:name w:val="Title"/>
    <w:basedOn w:val="Predefinito"/>
    <w:next w:val="Subtitle"/>
    <w:qFormat/>
    <w:rsid w:val="001d7217"/>
    <w:pPr>
      <w:spacing w:lineRule="atLeast" w:line="100" w:before="0" w:after="300"/>
      <w:ind w:left="0"/>
      <w:jc w:val="center"/>
    </w:pPr>
    <w:rPr>
      <w:rFonts w:ascii="Century Gothic" w:hAnsi="Century Gothic" w:cs="Century Gothic"/>
      <w:b/>
      <w:bCs/>
      <w:sz w:val="60"/>
      <w:szCs w:val="60"/>
    </w:rPr>
  </w:style>
  <w:style w:type="paragraph" w:styleId="Subtitle">
    <w:name w:val="Subtitle"/>
    <w:basedOn w:val="Intestazione1"/>
    <w:next w:val="BodyText"/>
    <w:qFormat/>
    <w:rsid w:val="001d7217"/>
    <w:pPr>
      <w:jc w:val="center"/>
    </w:pPr>
    <w:rPr>
      <w:i/>
      <w:iCs/>
    </w:rPr>
  </w:style>
  <w:style w:type="paragraph" w:styleId="Nessunaspaziatura1" w:customStyle="1">
    <w:name w:val="Nessuna spaziatura1"/>
    <w:qFormat/>
    <w:rsid w:val="001d7217"/>
    <w:pPr>
      <w:widowControl/>
      <w:tabs>
        <w:tab w:val="left" w:pos="720" w:leader="none"/>
      </w:tabs>
      <w:suppressAutoHyphens w:val="true"/>
      <w:bidi w:val="0"/>
      <w:spacing w:lineRule="auto" w:line="276" w:before="0" w:after="0"/>
      <w:jc w:val="left"/>
    </w:pPr>
    <w:rPr>
      <w:rFonts w:ascii="Garamond" w:hAnsi="Garamond" w:eastAsia="Arial Unicode MS" w:cs="Arial Unicode MS"/>
      <w:color w:val="00000A"/>
      <w:kern w:val="2"/>
      <w:sz w:val="20"/>
      <w:szCs w:val="20"/>
      <w:lang w:val="en-US" w:eastAsia="ja-JP" w:bidi="ar-SA"/>
    </w:rPr>
  </w:style>
  <w:style w:type="paragraph" w:styleId="JobTitle" w:customStyle="1">
    <w:name w:val="Job Title"/>
    <w:basedOn w:val="Predefinito"/>
    <w:qFormat/>
    <w:rsid w:val="001d7217"/>
    <w:pPr>
      <w:spacing w:lineRule="auto" w:line="276"/>
      <w:ind w:left="0"/>
    </w:pPr>
    <w:rPr/>
  </w:style>
  <w:style w:type="paragraph" w:styleId="Data1" w:customStyle="1">
    <w:name w:val="Data1"/>
    <w:basedOn w:val="Predefinito"/>
    <w:qFormat/>
    <w:rsid w:val="001d7217"/>
    <w:pPr>
      <w:spacing w:before="600" w:after="360"/>
    </w:pPr>
    <w:rPr/>
  </w:style>
  <w:style w:type="paragraph" w:styleId="Salutation">
    <w:name w:val="Salutation"/>
    <w:basedOn w:val="Predefinito"/>
    <w:rsid w:val="001d7217"/>
    <w:pPr>
      <w:suppressLineNumbers/>
    </w:pPr>
    <w:rPr>
      <w:b/>
      <w:bCs/>
    </w:rPr>
  </w:style>
  <w:style w:type="paragraph" w:styleId="Formuladichiusura1" w:customStyle="1">
    <w:name w:val="Formula di chiusura1"/>
    <w:basedOn w:val="Predefinito"/>
    <w:qFormat/>
    <w:rsid w:val="001d7217"/>
    <w:pPr>
      <w:spacing w:lineRule="atLeast" w:line="100" w:before="0" w:after="960"/>
    </w:pPr>
    <w:rPr/>
  </w:style>
  <w:style w:type="paragraph" w:styleId="Intestazioneepidipagina">
    <w:name w:val="Intestazione e piè di pagina"/>
    <w:basedOn w:val="Normal"/>
    <w:qFormat/>
    <w:pPr/>
    <w:rPr/>
  </w:style>
  <w:style w:type="paragraph" w:styleId="Header">
    <w:name w:val="header"/>
    <w:basedOn w:val="Predefinito"/>
    <w:link w:val="IntestazioneCarattere"/>
    <w:rsid w:val="001d7217"/>
    <w:pPr>
      <w:suppressLineNumbers/>
      <w:tabs>
        <w:tab w:val="clear" w:pos="4464"/>
        <w:tab w:val="center" w:pos="8424" w:leader="none"/>
        <w:tab w:val="right" w:pos="13104" w:leader="none"/>
      </w:tabs>
      <w:spacing w:lineRule="atLeast" w:line="100" w:before="0" w:after="0"/>
    </w:pPr>
    <w:rPr/>
  </w:style>
  <w:style w:type="paragraph" w:styleId="Footer">
    <w:name w:val="footer"/>
    <w:basedOn w:val="Predefinito"/>
    <w:rsid w:val="001d7217"/>
    <w:pPr>
      <w:suppressLineNumbers/>
      <w:pBdr>
        <w:top w:val="single" w:sz="4" w:space="0" w:color="C0C0C0"/>
      </w:pBdr>
      <w:tabs>
        <w:tab w:val="clear" w:pos="4464"/>
        <w:tab w:val="center" w:pos="4819" w:leader="none"/>
        <w:tab w:val="right" w:pos="9638" w:leader="none"/>
      </w:tabs>
      <w:spacing w:lineRule="atLeast" w:line="100" w:before="0" w:after="0"/>
      <w:ind w:left="0"/>
      <w:jc w:val="right"/>
    </w:pPr>
    <w:rPr>
      <w:i/>
      <w:iCs/>
      <w:color w:val="F24F4F"/>
    </w:rPr>
  </w:style>
  <w:style w:type="paragraph" w:styleId="Logo" w:customStyle="1">
    <w:name w:val="Logo"/>
    <w:basedOn w:val="Predefinito"/>
    <w:qFormat/>
    <w:rsid w:val="001d7217"/>
    <w:pPr>
      <w:spacing w:lineRule="atLeast" w:line="100" w:before="0" w:after="0"/>
      <w:jc w:val="right"/>
    </w:pPr>
    <w:rPr/>
  </w:style>
  <w:style w:type="paragraph" w:styleId="NormalWeb">
    <w:name w:val="Normal (Web)"/>
    <w:basedOn w:val="Predefinito"/>
    <w:uiPriority w:val="99"/>
    <w:qFormat/>
    <w:rsid w:val="001d7217"/>
    <w:pPr>
      <w:spacing w:before="280" w:after="280"/>
    </w:pPr>
    <w:rPr/>
  </w:style>
  <w:style w:type="paragraph" w:styleId="verdana" w:customStyle="1">
    <w:name w:val="verdana"/>
    <w:basedOn w:val="NormalWeb"/>
    <w:qFormat/>
    <w:rsid w:val="001d7217"/>
    <w:pPr>
      <w:widowControl w:val="false"/>
      <w:spacing w:before="120" w:after="0"/>
      <w:ind w:left="0" w:right="-57"/>
    </w:pPr>
    <w:rPr>
      <w:rFonts w:ascii="Comic Sans MS" w:hAnsi="Comic Sans MS" w:cs="Comic Sans MS"/>
      <w:b/>
      <w:i/>
      <w:spacing w:val="60"/>
    </w:rPr>
  </w:style>
  <w:style w:type="paragraph" w:styleId="Contenutotabella" w:customStyle="1">
    <w:name w:val="Contenuto tabella"/>
    <w:basedOn w:val="Predefinito"/>
    <w:qFormat/>
    <w:rsid w:val="001d7217"/>
    <w:pPr>
      <w:suppressLineNumbers/>
    </w:pPr>
    <w:rPr/>
  </w:style>
  <w:style w:type="paragraph" w:styleId="Intestazionetabella" w:customStyle="1">
    <w:name w:val="Intestazione tabella"/>
    <w:basedOn w:val="Contenutotabella"/>
    <w:qFormat/>
    <w:rsid w:val="001d7217"/>
    <w:pPr>
      <w:jc w:val="center"/>
    </w:pPr>
    <w:rPr>
      <w:b/>
      <w:bCs/>
    </w:rPr>
  </w:style>
  <w:style w:type="paragraph" w:styleId="BodyTextIndent">
    <w:name w:val="Body Text Indent"/>
    <w:basedOn w:val="Normal"/>
    <w:link w:val="RientrocorpodeltestoCarattere"/>
    <w:uiPriority w:val="99"/>
    <w:semiHidden/>
    <w:unhideWhenUsed/>
    <w:rsid w:val="00631cbd"/>
    <w:pPr>
      <w:spacing w:before="0" w:after="120"/>
      <w:ind w:left="283"/>
    </w:pPr>
    <w:rPr>
      <w:rFonts w:cs="Mangal"/>
      <w:szCs w:val="21"/>
    </w:rPr>
  </w:style>
  <w:style w:type="paragraph" w:styleId="Revision">
    <w:name w:val="Revision"/>
    <w:uiPriority w:val="99"/>
    <w:semiHidden/>
    <w:qFormat/>
    <w:rsid w:val="00ba3cdf"/>
    <w:pPr>
      <w:widowControl/>
      <w:bidi w:val="0"/>
      <w:spacing w:before="0" w:after="0"/>
      <w:jc w:val="left"/>
    </w:pPr>
    <w:rPr>
      <w:rFonts w:eastAsia="Arial Unicode MS" w:cs="Mangal" w:ascii="Times New Roman" w:hAnsi="Times New Roman"/>
      <w:color w:val="00000A"/>
      <w:kern w:val="2"/>
      <w:sz w:val="24"/>
      <w:szCs w:val="21"/>
      <w:lang w:eastAsia="zh-CN" w:bidi="hi-IN" w:val="it-IT"/>
    </w:rPr>
  </w:style>
  <w:style w:type="paragraph" w:styleId="BalloonText">
    <w:name w:val="Balloon Text"/>
    <w:basedOn w:val="Normal"/>
    <w:link w:val="TestofumettoCarattere"/>
    <w:uiPriority w:val="99"/>
    <w:semiHidden/>
    <w:unhideWhenUsed/>
    <w:qFormat/>
    <w:rsid w:val="00ba3cdf"/>
    <w:pPr/>
    <w:rPr>
      <w:rFonts w:ascii="Tahoma" w:hAnsi="Tahoma" w:cs="Mangal"/>
      <w:sz w:val="16"/>
      <w:szCs w:val="14"/>
    </w:rPr>
  </w:style>
  <w:style w:type="paragraph" w:styleId="PlainText">
    <w:name w:val="Plain Text"/>
    <w:basedOn w:val="Normal"/>
    <w:link w:val="TestonormaleCarattere"/>
    <w:qFormat/>
    <w:rsid w:val="0065641b"/>
    <w:pPr>
      <w:widowControl/>
      <w:suppressAutoHyphens w:val="false"/>
    </w:pPr>
    <w:rPr>
      <w:rFonts w:ascii="Courier New" w:hAnsi="Courier New" w:eastAsia="Times New Roman" w:cs="Courier New"/>
      <w:color w:val="auto"/>
      <w:kern w:val="0"/>
      <w:sz w:val="20"/>
      <w:szCs w:val="20"/>
      <w:lang w:eastAsia="it-IT" w:bidi="ar-SA"/>
    </w:rPr>
  </w:style>
  <w:style w:type="paragraph" w:styleId="BodyText2">
    <w:name w:val="Body Text 2"/>
    <w:basedOn w:val="Normal"/>
    <w:link w:val="Corpodeltesto2Carattere"/>
    <w:uiPriority w:val="99"/>
    <w:semiHidden/>
    <w:unhideWhenUsed/>
    <w:qFormat/>
    <w:rsid w:val="00f8608e"/>
    <w:pPr>
      <w:spacing w:lineRule="auto" w:line="480" w:before="0" w:after="120"/>
    </w:pPr>
    <w:rPr>
      <w:rFonts w:cs="Mangal"/>
      <w:szCs w:val="21"/>
    </w:rPr>
  </w:style>
  <w:style w:type="paragraph" w:styleId="ListParagraph">
    <w:name w:val="List Paragraph"/>
    <w:basedOn w:val="Normal"/>
    <w:uiPriority w:val="34"/>
    <w:qFormat/>
    <w:rsid w:val="005f2f21"/>
    <w:pPr>
      <w:spacing w:before="0" w:after="0"/>
      <w:ind w:left="720"/>
      <w:contextualSpacing/>
    </w:pPr>
    <w:rPr>
      <w:rFonts w:cs="Mangal"/>
      <w:szCs w:val="21"/>
    </w:rPr>
  </w:style>
  <w:style w:type="paragraph" w:styleId="Contenutocornice">
    <w:name w:val="Contenuto cornice"/>
    <w:basedOn w:val="Normal"/>
    <w:qFormat/>
    <w:pPr/>
    <w:rPr/>
  </w:style>
  <w:style w:type="numbering" w:styleId="Nessunelenco" w:default="1">
    <w:name w:val="Nessun elenco"/>
    <w:uiPriority w:val="99"/>
    <w:semiHidden/>
    <w:unhideWhenUsed/>
    <w:qFormat/>
  </w:style>
  <w:style w:type="table" w:default="1" w:styleId="Tabellanormale">
    <w:name w:val="Normal Table"/>
    <w:uiPriority w:val="99"/>
    <w:semiHidden/>
    <w:unhideWhenUsed/>
    <w:tblPr>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hyperlink" Target="mailto:aris013007@istruzione.it" TargetMode="External"/><Relationship Id="rId5" Type="http://schemas.openxmlformats.org/officeDocument/2006/relationships/hyperlink" Target="mailto:aris013007@pec.istruzione.it" TargetMode="Externa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Tema di Offic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6BF1E5-E767-4A89-A540-97AAE6994C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Application>LibreOffice/24.8.3.2$Windows_X86_64 LibreOffice_project/48a6bac9e7e268aeb4c3483fcf825c94556d9f92</Application>
  <AppVersion>15.0000</AppVersion>
  <Pages>5</Pages>
  <Words>1613</Words>
  <Characters>9832</Characters>
  <CharactersWithSpaces>11685</CharactersWithSpaces>
  <Paragraphs>78</Paragraphs>
  <Company>Microsoft</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2020-10-06T07:03:00Z</dcterms:created>
  <dc:creator>Utente</dc:creator>
  <dc:description/>
  <dc:language>it-IT</dc:language>
  <cp:lastModifiedBy/>
  <cp:lastPrinted>2019-10-24T06:30:00Z</cp:lastPrinted>
  <dcterms:modified xsi:type="dcterms:W3CDTF">2025-01-17T09:04:48Z</dcterms:modified>
  <cp:revision>21</cp:revision>
  <dc:subject/>
  <dc:title/>
</cp:coreProperties>
</file>

<file path=docProps/custom.xml><?xml version="1.0" encoding="utf-8"?>
<Properties xmlns="http://schemas.openxmlformats.org/officeDocument/2006/custom-properties" xmlns:vt="http://schemas.openxmlformats.org/officeDocument/2006/docPropsVTypes"/>
</file>